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F2EF7" w14:textId="77777777" w:rsidR="00C8028F" w:rsidRDefault="00464D3A" w:rsidP="00C8028F">
      <w:pPr>
        <w:pStyle w:val="Default"/>
        <w:spacing w:after="240"/>
        <w:jc w:val="center"/>
        <w:rPr>
          <w:b/>
          <w:bCs/>
          <w:sz w:val="32"/>
          <w:szCs w:val="32"/>
        </w:rPr>
      </w:pPr>
      <w:bookmarkStart w:id="0" w:name="_GoBack"/>
      <w:bookmarkEnd w:id="0"/>
      <w:r>
        <w:rPr>
          <w:noProof/>
        </w:rPr>
        <w:drawing>
          <wp:inline distT="0" distB="0" distL="0" distR="0" wp14:anchorId="39D6A36A" wp14:editId="7A47F5F7">
            <wp:extent cx="1057275" cy="1038225"/>
            <wp:effectExtent l="0" t="0" r="9525" b="9525"/>
            <wp:docPr id="3" name="Picture 3" descr="Syracus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inline>
        </w:drawing>
      </w:r>
    </w:p>
    <w:p w14:paraId="7049A3FA" w14:textId="77777777" w:rsidR="0032465C" w:rsidRDefault="0030474F" w:rsidP="00C805BE">
      <w:pPr>
        <w:pStyle w:val="Heading1"/>
        <w:ind w:right="180"/>
        <w:jc w:val="center"/>
      </w:pPr>
      <w:r>
        <w:t xml:space="preserve">Information </w:t>
      </w:r>
      <w:r w:rsidR="00DC756B">
        <w:t xml:space="preserve">and Communication </w:t>
      </w:r>
      <w:r>
        <w:t>Technology Accessibility</w:t>
      </w:r>
      <w:r w:rsidR="00DC756B">
        <w:t xml:space="preserve"> </w:t>
      </w:r>
      <w:r w:rsidR="0032465C">
        <w:t xml:space="preserve">Policy </w:t>
      </w:r>
      <w:r w:rsidR="00C805BE">
        <w:t>Cover Page</w:t>
      </w:r>
    </w:p>
    <w:p w14:paraId="54249D63" w14:textId="77777777" w:rsidR="00543E55" w:rsidRPr="002B0DCA" w:rsidRDefault="0032465C" w:rsidP="00265C80">
      <w:pPr>
        <w:pStyle w:val="ListParagraph"/>
        <w:numPr>
          <w:ilvl w:val="0"/>
          <w:numId w:val="3"/>
        </w:numPr>
        <w:spacing w:before="480" w:after="240"/>
        <w:ind w:left="360" w:right="187"/>
        <w:contextualSpacing w:val="0"/>
        <w:jc w:val="both"/>
        <w:rPr>
          <w:sz w:val="20"/>
          <w:szCs w:val="20"/>
        </w:rPr>
      </w:pPr>
      <w:r w:rsidRPr="002B0DCA">
        <w:rPr>
          <w:sz w:val="20"/>
          <w:szCs w:val="20"/>
        </w:rPr>
        <w:t>University Official/Committee/Office</w:t>
      </w:r>
      <w:r w:rsidR="00BC1EA1" w:rsidRPr="002B0DCA">
        <w:rPr>
          <w:sz w:val="20"/>
          <w:szCs w:val="20"/>
        </w:rPr>
        <w:t xml:space="preserve"> </w:t>
      </w:r>
      <w:r w:rsidR="00BC4C66" w:rsidRPr="002B0DCA">
        <w:rPr>
          <w:sz w:val="20"/>
          <w:szCs w:val="20"/>
        </w:rPr>
        <w:t>r</w:t>
      </w:r>
      <w:r w:rsidR="00BC1EA1" w:rsidRPr="002B0DCA">
        <w:rPr>
          <w:sz w:val="20"/>
          <w:szCs w:val="20"/>
        </w:rPr>
        <w:t xml:space="preserve">esponsible for this </w:t>
      </w:r>
      <w:r w:rsidR="00BC4C66" w:rsidRPr="002B0DCA">
        <w:rPr>
          <w:sz w:val="20"/>
          <w:szCs w:val="20"/>
        </w:rPr>
        <w:t>p</w:t>
      </w:r>
      <w:r w:rsidR="00BC1EA1" w:rsidRPr="002B0DCA">
        <w:rPr>
          <w:sz w:val="20"/>
          <w:szCs w:val="20"/>
        </w:rPr>
        <w:t>olicy</w:t>
      </w:r>
      <w:r w:rsidR="00B23521" w:rsidRPr="002B0DCA">
        <w:rPr>
          <w:sz w:val="20"/>
          <w:szCs w:val="20"/>
        </w:rPr>
        <w:t xml:space="preserve">: Information Technology Services </w:t>
      </w:r>
      <w:r w:rsidR="00937F37" w:rsidRPr="002B0DCA">
        <w:rPr>
          <w:sz w:val="20"/>
          <w:szCs w:val="20"/>
        </w:rPr>
        <w:t xml:space="preserve">and Equal Opportunity, Inclusion and Resolution Services </w:t>
      </w:r>
    </w:p>
    <w:p w14:paraId="1BB6CAA4" w14:textId="77777777" w:rsidR="0032465C" w:rsidRPr="002B0DCA" w:rsidRDefault="0032465C" w:rsidP="00265C80">
      <w:pPr>
        <w:pStyle w:val="ListParagraph"/>
        <w:numPr>
          <w:ilvl w:val="0"/>
          <w:numId w:val="3"/>
        </w:numPr>
        <w:spacing w:after="240" w:line="360" w:lineRule="auto"/>
        <w:ind w:left="360" w:right="187"/>
        <w:jc w:val="both"/>
        <w:rPr>
          <w:sz w:val="20"/>
          <w:szCs w:val="20"/>
        </w:rPr>
      </w:pPr>
      <w:r w:rsidRPr="002B0DCA">
        <w:rPr>
          <w:sz w:val="20"/>
          <w:szCs w:val="20"/>
        </w:rPr>
        <w:t>Sponsor</w:t>
      </w:r>
      <w:r w:rsidR="00BC1EA1" w:rsidRPr="002B0DCA">
        <w:rPr>
          <w:sz w:val="20"/>
          <w:szCs w:val="20"/>
        </w:rPr>
        <w:t xml:space="preserve"> Name</w:t>
      </w:r>
      <w:r w:rsidR="00B23521" w:rsidRPr="002B0DCA">
        <w:rPr>
          <w:sz w:val="20"/>
          <w:szCs w:val="20"/>
        </w:rPr>
        <w:t xml:space="preserve">:  Sam Scozzafava, </w:t>
      </w:r>
      <w:r w:rsidR="00B85961" w:rsidRPr="002B0DCA">
        <w:rPr>
          <w:sz w:val="20"/>
          <w:szCs w:val="20"/>
        </w:rPr>
        <w:t>V</w:t>
      </w:r>
      <w:r w:rsidR="00E93409" w:rsidRPr="002B0DCA">
        <w:rPr>
          <w:sz w:val="20"/>
          <w:szCs w:val="20"/>
        </w:rPr>
        <w:t xml:space="preserve">ice </w:t>
      </w:r>
      <w:r w:rsidR="00B85961" w:rsidRPr="002B0DCA">
        <w:rPr>
          <w:sz w:val="20"/>
          <w:szCs w:val="20"/>
        </w:rPr>
        <w:t>P</w:t>
      </w:r>
      <w:r w:rsidR="00E93409" w:rsidRPr="002B0DCA">
        <w:rPr>
          <w:sz w:val="20"/>
          <w:szCs w:val="20"/>
        </w:rPr>
        <w:t>resident</w:t>
      </w:r>
      <w:r w:rsidR="00B85961" w:rsidRPr="002B0DCA">
        <w:rPr>
          <w:sz w:val="20"/>
          <w:szCs w:val="20"/>
        </w:rPr>
        <w:t xml:space="preserve"> for Information Technology</w:t>
      </w:r>
      <w:r w:rsidR="00E93409" w:rsidRPr="002B0DCA">
        <w:rPr>
          <w:sz w:val="20"/>
          <w:szCs w:val="20"/>
        </w:rPr>
        <w:t>/CIO</w:t>
      </w:r>
    </w:p>
    <w:p w14:paraId="4E88A9BA" w14:textId="77777777" w:rsidR="0032465C" w:rsidRPr="002B0DCA" w:rsidRDefault="0032465C" w:rsidP="008819CB">
      <w:pPr>
        <w:pStyle w:val="ListParagraph"/>
        <w:numPr>
          <w:ilvl w:val="0"/>
          <w:numId w:val="3"/>
        </w:numPr>
        <w:ind w:left="360" w:right="180"/>
        <w:rPr>
          <w:sz w:val="20"/>
          <w:szCs w:val="20"/>
        </w:rPr>
      </w:pPr>
      <w:r w:rsidRPr="002B0DCA">
        <w:rPr>
          <w:sz w:val="20"/>
          <w:szCs w:val="20"/>
        </w:rPr>
        <w:t>Policy Status:</w:t>
      </w:r>
      <w:r w:rsidR="00EA7D9E" w:rsidRPr="002B0DCA">
        <w:rPr>
          <w:sz w:val="20"/>
          <w:szCs w:val="20"/>
        </w:rPr>
        <w:tab/>
      </w:r>
      <w:sdt>
        <w:sdtPr>
          <w:rPr>
            <w:bCs/>
            <w:iCs/>
            <w:color w:val="000000"/>
            <w:sz w:val="20"/>
            <w:szCs w:val="20"/>
          </w:rPr>
          <w:id w:val="-1354498107"/>
        </w:sdtPr>
        <w:sdtEndPr/>
        <w:sdtContent>
          <w:r w:rsidR="00B23521" w:rsidRPr="002B0DCA">
            <w:rPr>
              <w:rFonts w:ascii="MS Gothic" w:eastAsia="MS Gothic" w:hAnsi="MS Gothic" w:hint="eastAsia"/>
              <w:bCs/>
              <w:iCs/>
              <w:color w:val="000000"/>
              <w:sz w:val="20"/>
              <w:szCs w:val="20"/>
            </w:rPr>
            <w:t>☒</w:t>
          </w:r>
        </w:sdtContent>
      </w:sdt>
      <w:r w:rsidRPr="002B0DCA">
        <w:rPr>
          <w:bCs/>
          <w:iCs/>
          <w:color w:val="000000"/>
          <w:sz w:val="20"/>
          <w:szCs w:val="20"/>
        </w:rPr>
        <w:t xml:space="preserve"> </w:t>
      </w:r>
      <w:r w:rsidRPr="002B0DCA">
        <w:rPr>
          <w:rFonts w:eastAsia="Calibri"/>
          <w:sz w:val="20"/>
          <w:szCs w:val="20"/>
        </w:rPr>
        <w:t xml:space="preserve"> New Policy</w:t>
      </w:r>
    </w:p>
    <w:p w14:paraId="6BE42E97" w14:textId="77777777" w:rsidR="0032465C" w:rsidRPr="002B0DCA" w:rsidRDefault="003842C0" w:rsidP="00EA7D9E">
      <w:pPr>
        <w:ind w:left="1440" w:right="180" w:firstLine="720"/>
        <w:rPr>
          <w:rFonts w:eastAsia="Calibri"/>
          <w:sz w:val="20"/>
          <w:szCs w:val="20"/>
        </w:rPr>
      </w:pPr>
      <w:sdt>
        <w:sdtPr>
          <w:rPr>
            <w:rFonts w:ascii="MS Gothic" w:eastAsia="MS Gothic" w:hAnsi="MS Gothic"/>
            <w:bCs/>
            <w:iCs/>
            <w:color w:val="000000"/>
            <w:sz w:val="20"/>
            <w:szCs w:val="20"/>
          </w:rPr>
          <w:id w:val="-2039799689"/>
        </w:sdtPr>
        <w:sdtEndPr/>
        <w:sdtContent>
          <w:r w:rsidR="0032465C" w:rsidRPr="002B0DCA">
            <w:rPr>
              <w:rFonts w:ascii="MS Gothic" w:eastAsia="MS Gothic" w:hAnsi="MS Gothic" w:hint="eastAsia"/>
              <w:bCs/>
              <w:iCs/>
              <w:color w:val="000000"/>
              <w:sz w:val="20"/>
              <w:szCs w:val="20"/>
            </w:rPr>
            <w:t>☐</w:t>
          </w:r>
        </w:sdtContent>
      </w:sdt>
      <w:r w:rsidR="0032465C" w:rsidRPr="002B0DCA">
        <w:rPr>
          <w:bCs/>
          <w:iCs/>
          <w:color w:val="000000"/>
          <w:sz w:val="20"/>
          <w:szCs w:val="20"/>
        </w:rPr>
        <w:t xml:space="preserve"> </w:t>
      </w:r>
      <w:r w:rsidR="0032465C" w:rsidRPr="002B0DCA">
        <w:rPr>
          <w:rFonts w:eastAsia="Calibri"/>
          <w:sz w:val="20"/>
          <w:szCs w:val="20"/>
        </w:rPr>
        <w:t xml:space="preserve"> Revision of an Existing Policy</w:t>
      </w:r>
      <w:r w:rsidR="00D608FA" w:rsidRPr="002B0DCA">
        <w:rPr>
          <w:rFonts w:eastAsia="Calibri"/>
          <w:sz w:val="20"/>
          <w:szCs w:val="20"/>
        </w:rPr>
        <w:t xml:space="preserve"> </w:t>
      </w:r>
    </w:p>
    <w:p w14:paraId="2BDC57E2" w14:textId="77777777" w:rsidR="0032465C" w:rsidRPr="002B0DCA" w:rsidRDefault="003842C0" w:rsidP="00265C80">
      <w:pPr>
        <w:ind w:left="1440" w:right="180" w:firstLine="720"/>
        <w:rPr>
          <w:rFonts w:eastAsia="Calibri"/>
          <w:sz w:val="20"/>
          <w:szCs w:val="20"/>
        </w:rPr>
      </w:pPr>
      <w:sdt>
        <w:sdtPr>
          <w:rPr>
            <w:rFonts w:ascii="MS Gothic" w:eastAsia="MS Gothic" w:hAnsi="MS Gothic"/>
            <w:bCs/>
            <w:iCs/>
            <w:color w:val="000000"/>
            <w:sz w:val="20"/>
            <w:szCs w:val="20"/>
          </w:rPr>
          <w:id w:val="855780437"/>
        </w:sdtPr>
        <w:sdtEndPr/>
        <w:sdtContent>
          <w:r w:rsidR="0032465C" w:rsidRPr="002B0DCA">
            <w:rPr>
              <w:rFonts w:ascii="MS Gothic" w:eastAsia="MS Gothic" w:hAnsi="MS Gothic" w:hint="eastAsia"/>
              <w:bCs/>
              <w:iCs/>
              <w:color w:val="000000"/>
              <w:sz w:val="20"/>
              <w:szCs w:val="20"/>
            </w:rPr>
            <w:t>☐</w:t>
          </w:r>
        </w:sdtContent>
      </w:sdt>
      <w:r w:rsidR="0032465C" w:rsidRPr="002B0DCA">
        <w:rPr>
          <w:bCs/>
          <w:iCs/>
          <w:color w:val="000000"/>
          <w:sz w:val="20"/>
          <w:szCs w:val="20"/>
        </w:rPr>
        <w:t xml:space="preserve"> </w:t>
      </w:r>
      <w:r w:rsidR="0032465C" w:rsidRPr="002B0DCA">
        <w:rPr>
          <w:rFonts w:eastAsia="Calibri"/>
          <w:sz w:val="20"/>
          <w:szCs w:val="20"/>
        </w:rPr>
        <w:t xml:space="preserve"> Technical correction/update only</w:t>
      </w:r>
    </w:p>
    <w:p w14:paraId="3F244AD9" w14:textId="77777777" w:rsidR="0032465C" w:rsidRPr="002B0DCA" w:rsidRDefault="00B23521" w:rsidP="00265C80">
      <w:pPr>
        <w:pStyle w:val="ListParagraph"/>
        <w:numPr>
          <w:ilvl w:val="0"/>
          <w:numId w:val="3"/>
        </w:numPr>
        <w:spacing w:before="120" w:line="360" w:lineRule="auto"/>
        <w:ind w:left="360" w:right="187"/>
        <w:rPr>
          <w:sz w:val="20"/>
          <w:szCs w:val="20"/>
        </w:rPr>
      </w:pPr>
      <w:r w:rsidRPr="002B0DCA">
        <w:rPr>
          <w:sz w:val="20"/>
          <w:szCs w:val="20"/>
        </w:rPr>
        <w:t>Policy Contact Name:  Jenny  Gluck</w:t>
      </w:r>
      <w:r w:rsidR="002E6545" w:rsidRPr="002B0DCA">
        <w:rPr>
          <w:sz w:val="20"/>
          <w:szCs w:val="20"/>
        </w:rPr>
        <w:t>, A</w:t>
      </w:r>
      <w:r w:rsidR="00FC07CB" w:rsidRPr="002B0DCA">
        <w:rPr>
          <w:sz w:val="20"/>
          <w:szCs w:val="20"/>
        </w:rPr>
        <w:t xml:space="preserve">ssociate </w:t>
      </w:r>
      <w:r w:rsidR="002E6545" w:rsidRPr="002B0DCA">
        <w:rPr>
          <w:sz w:val="20"/>
          <w:szCs w:val="20"/>
        </w:rPr>
        <w:t>CIO</w:t>
      </w:r>
      <w:r w:rsidRPr="002B0DCA">
        <w:rPr>
          <w:sz w:val="20"/>
          <w:szCs w:val="20"/>
        </w:rPr>
        <w:t xml:space="preserve"> </w:t>
      </w:r>
      <w:r w:rsidR="0032465C" w:rsidRPr="002B0DCA">
        <w:rPr>
          <w:sz w:val="20"/>
          <w:szCs w:val="20"/>
        </w:rPr>
        <w:t xml:space="preserve"> Phone: </w:t>
      </w:r>
      <w:r w:rsidRPr="002B0DCA">
        <w:rPr>
          <w:sz w:val="20"/>
          <w:szCs w:val="20"/>
        </w:rPr>
        <w:t>315-443-5772</w:t>
      </w:r>
      <w:r w:rsidR="0032465C" w:rsidRPr="002B0DCA">
        <w:rPr>
          <w:sz w:val="20"/>
          <w:szCs w:val="20"/>
        </w:rPr>
        <w:t xml:space="preserve"> E-mail: </w:t>
      </w:r>
      <w:hyperlink r:id="rId9" w:history="1">
        <w:r w:rsidR="00306A60" w:rsidRPr="002B0DCA">
          <w:rPr>
            <w:rStyle w:val="Hyperlink"/>
            <w:sz w:val="20"/>
            <w:szCs w:val="20"/>
          </w:rPr>
          <w:t>jsgluck@syr.edu</w:t>
        </w:r>
      </w:hyperlink>
    </w:p>
    <w:p w14:paraId="6E584730"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 xml:space="preserve">Policy Reference Number:  [ </w:t>
      </w:r>
      <w:r w:rsidRPr="002B0DCA">
        <w:rPr>
          <w:i/>
          <w:sz w:val="20"/>
          <w:szCs w:val="20"/>
        </w:rPr>
        <w:t xml:space="preserve">xx.xx.xx </w:t>
      </w:r>
      <w:r w:rsidRPr="002B0DCA">
        <w:rPr>
          <w:sz w:val="20"/>
          <w:szCs w:val="20"/>
        </w:rPr>
        <w:t>]</w:t>
      </w:r>
      <w:r w:rsidRPr="002B0DCA">
        <w:rPr>
          <w:sz w:val="20"/>
          <w:szCs w:val="20"/>
        </w:rPr>
        <w:tab/>
      </w:r>
      <w:r w:rsidR="008E371F" w:rsidRPr="002B0DCA">
        <w:rPr>
          <w:i/>
          <w:sz w:val="20"/>
          <w:szCs w:val="20"/>
          <w:shd w:val="clear" w:color="auto" w:fill="D9D9D9" w:themeFill="background1" w:themeFillShade="D9"/>
        </w:rPr>
        <w:t>(P</w:t>
      </w:r>
      <w:r w:rsidR="00944B98" w:rsidRPr="002B0DCA">
        <w:rPr>
          <w:i/>
          <w:sz w:val="20"/>
          <w:szCs w:val="20"/>
          <w:shd w:val="clear" w:color="auto" w:fill="D9D9D9" w:themeFill="background1" w:themeFillShade="D9"/>
        </w:rPr>
        <w:t xml:space="preserve">olicy </w:t>
      </w:r>
      <w:r w:rsidR="008E371F" w:rsidRPr="002B0DCA">
        <w:rPr>
          <w:i/>
          <w:sz w:val="20"/>
          <w:szCs w:val="20"/>
          <w:shd w:val="clear" w:color="auto" w:fill="D9D9D9" w:themeFill="background1" w:themeFillShade="D9"/>
        </w:rPr>
        <w:t>A</w:t>
      </w:r>
      <w:r w:rsidR="00944B98" w:rsidRPr="002B0DCA">
        <w:rPr>
          <w:i/>
          <w:sz w:val="20"/>
          <w:szCs w:val="20"/>
          <w:shd w:val="clear" w:color="auto" w:fill="D9D9D9" w:themeFill="background1" w:themeFillShade="D9"/>
        </w:rPr>
        <w:t>dministrator use only)</w:t>
      </w:r>
    </w:p>
    <w:p w14:paraId="4BAFECE8"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Policy Category</w:t>
      </w:r>
      <w:r w:rsidR="00923281" w:rsidRPr="002B0DCA">
        <w:rPr>
          <w:sz w:val="20"/>
          <w:szCs w:val="20"/>
        </w:rPr>
        <w:t>(ies</w:t>
      </w:r>
      <w:r w:rsidR="00483D55" w:rsidRPr="002B0DCA">
        <w:rPr>
          <w:sz w:val="20"/>
          <w:szCs w:val="20"/>
        </w:rPr>
        <w:t>)</w:t>
      </w:r>
      <w:r w:rsidR="00483D55" w:rsidRPr="002B0DCA">
        <w:rPr>
          <w:sz w:val="20"/>
          <w:szCs w:val="20"/>
          <w:shd w:val="clear" w:color="auto" w:fill="D9D9D9" w:themeFill="background1" w:themeFillShade="D9"/>
        </w:rPr>
        <w:t>:</w:t>
      </w:r>
      <w:r w:rsidR="00A94F57" w:rsidRPr="002B0DCA">
        <w:rPr>
          <w:sz w:val="20"/>
          <w:szCs w:val="20"/>
        </w:rPr>
        <w:t xml:space="preserve"> </w:t>
      </w:r>
    </w:p>
    <w:p w14:paraId="37204C7C" w14:textId="77777777" w:rsidR="00A94F57" w:rsidRPr="002B0DCA" w:rsidRDefault="003842C0" w:rsidP="00A94F57">
      <w:pPr>
        <w:ind w:left="720" w:right="180"/>
        <w:rPr>
          <w:rFonts w:ascii="MS Gothic" w:eastAsia="MS Gothic" w:hAnsi="MS Gothic"/>
          <w:bCs/>
          <w:iCs/>
          <w:color w:val="000000"/>
          <w:sz w:val="20"/>
          <w:szCs w:val="20"/>
        </w:rPr>
      </w:pPr>
      <w:sdt>
        <w:sdtPr>
          <w:rPr>
            <w:rFonts w:ascii="MS Gothic" w:eastAsia="MS Gothic" w:hAnsi="MS Gothic"/>
            <w:bCs/>
            <w:iCs/>
            <w:color w:val="000000"/>
            <w:sz w:val="20"/>
            <w:szCs w:val="20"/>
          </w:rPr>
          <w:id w:val="-502121796"/>
        </w:sdtPr>
        <w:sdtEndPr/>
        <w:sdtContent>
          <w:r w:rsidR="00B23521" w:rsidRPr="002B0DCA">
            <w:rPr>
              <w:rFonts w:ascii="MS Gothic" w:eastAsia="MS Gothic" w:hAnsi="MS Gothic" w:hint="eastAsia"/>
              <w:bCs/>
              <w:iCs/>
              <w:color w:val="000000"/>
              <w:sz w:val="20"/>
              <w:szCs w:val="20"/>
            </w:rPr>
            <w:t>☒</w:t>
          </w:r>
        </w:sdtContent>
      </w:sdt>
      <w:r w:rsidR="00A94F57" w:rsidRPr="002B0DCA">
        <w:rPr>
          <w:rFonts w:asciiTheme="minorHAnsi" w:eastAsiaTheme="minorHAnsi" w:hAnsiTheme="minorHAnsi" w:cstheme="minorBidi"/>
          <w:sz w:val="20"/>
          <w:szCs w:val="20"/>
        </w:rPr>
        <w:t xml:space="preserve"> </w:t>
      </w:r>
      <w:r w:rsidR="00A94F57" w:rsidRPr="002B0DCA">
        <w:rPr>
          <w:rFonts w:eastAsia="MS Gothic"/>
          <w:bCs/>
          <w:iCs/>
          <w:color w:val="000000"/>
          <w:sz w:val="20"/>
          <w:szCs w:val="20"/>
        </w:rPr>
        <w:t>University Governance</w:t>
      </w:r>
      <w:r w:rsidR="00A94F57" w:rsidRPr="002B0DCA">
        <w:rPr>
          <w:rFonts w:eastAsia="MS Gothic"/>
          <w:b/>
          <w:bCs/>
          <w:iCs/>
          <w:color w:val="000000"/>
          <w:sz w:val="20"/>
          <w:szCs w:val="20"/>
        </w:rPr>
        <w:t xml:space="preserve">, </w:t>
      </w:r>
      <w:r w:rsidR="00A94F57" w:rsidRPr="002B0DCA">
        <w:rPr>
          <w:rFonts w:eastAsia="MS Gothic"/>
          <w:bCs/>
          <w:iCs/>
          <w:color w:val="000000"/>
          <w:sz w:val="20"/>
          <w:szCs w:val="20"/>
        </w:rPr>
        <w:t>Ethics, Integrity, and Legal Compliance</w:t>
      </w:r>
    </w:p>
    <w:p w14:paraId="6D230078" w14:textId="77777777" w:rsidR="00A94F57" w:rsidRPr="002B0DCA" w:rsidRDefault="003842C0" w:rsidP="00A94F57">
      <w:pPr>
        <w:ind w:left="720" w:right="180"/>
        <w:rPr>
          <w:sz w:val="20"/>
          <w:szCs w:val="20"/>
        </w:rPr>
      </w:pPr>
      <w:sdt>
        <w:sdtPr>
          <w:rPr>
            <w:rFonts w:ascii="MS Gothic" w:eastAsia="MS Gothic" w:hAnsi="MS Gothic"/>
            <w:bCs/>
            <w:iCs/>
            <w:color w:val="000000"/>
            <w:sz w:val="20"/>
            <w:szCs w:val="20"/>
          </w:rPr>
          <w:id w:val="-1558697016"/>
        </w:sdtPr>
        <w:sdtEndPr/>
        <w:sdtContent>
          <w:r w:rsidR="004E6E49" w:rsidRPr="002B0DCA">
            <w:rPr>
              <w:rFonts w:ascii="MS Gothic" w:eastAsia="MS Gothic" w:hAnsi="MS Gothic" w:hint="eastAsia"/>
              <w:bCs/>
              <w:iCs/>
              <w:color w:val="000000"/>
              <w:sz w:val="20"/>
              <w:szCs w:val="20"/>
            </w:rPr>
            <w:t>☒</w:t>
          </w:r>
        </w:sdtContent>
      </w:sdt>
      <w:r w:rsidR="00A94F57" w:rsidRPr="002B0DCA">
        <w:rPr>
          <w:sz w:val="20"/>
          <w:szCs w:val="20"/>
        </w:rPr>
        <w:t xml:space="preserve"> Faculty Teaching and Research</w:t>
      </w:r>
    </w:p>
    <w:p w14:paraId="72D5EA1C" w14:textId="77777777" w:rsidR="00A94F57" w:rsidRPr="002B0DCA" w:rsidRDefault="003842C0" w:rsidP="00A94F57">
      <w:pPr>
        <w:ind w:left="720" w:right="180"/>
        <w:rPr>
          <w:sz w:val="20"/>
          <w:szCs w:val="20"/>
        </w:rPr>
      </w:pPr>
      <w:sdt>
        <w:sdtPr>
          <w:rPr>
            <w:rFonts w:ascii="MS Gothic" w:eastAsia="MS Gothic" w:hAnsi="MS Gothic"/>
            <w:bCs/>
            <w:iCs/>
            <w:color w:val="000000"/>
            <w:sz w:val="20"/>
            <w:szCs w:val="20"/>
          </w:rPr>
          <w:id w:val="441731847"/>
        </w:sdtPr>
        <w:sdtEndPr/>
        <w:sdtContent>
          <w:r w:rsidR="00B23521" w:rsidRPr="002B0DCA">
            <w:rPr>
              <w:rFonts w:ascii="MS Gothic" w:eastAsia="MS Gothic" w:hAnsi="MS Gothic" w:hint="eastAsia"/>
              <w:bCs/>
              <w:iCs/>
              <w:color w:val="000000"/>
              <w:sz w:val="20"/>
              <w:szCs w:val="20"/>
            </w:rPr>
            <w:t>☒</w:t>
          </w:r>
        </w:sdtContent>
      </w:sdt>
      <w:r w:rsidR="00A94F57" w:rsidRPr="002B0DCA">
        <w:rPr>
          <w:sz w:val="20"/>
          <w:szCs w:val="20"/>
        </w:rPr>
        <w:t xml:space="preserve"> Academic Rules</w:t>
      </w:r>
      <w:r w:rsidR="00486E0C" w:rsidRPr="002B0DCA">
        <w:rPr>
          <w:sz w:val="20"/>
          <w:szCs w:val="20"/>
        </w:rPr>
        <w:t xml:space="preserve">, </w:t>
      </w:r>
      <w:r w:rsidR="00A94F57" w:rsidRPr="002B0DCA">
        <w:rPr>
          <w:sz w:val="20"/>
          <w:szCs w:val="20"/>
        </w:rPr>
        <w:t xml:space="preserve">Student </w:t>
      </w:r>
      <w:r w:rsidR="00486E0C" w:rsidRPr="002B0DCA">
        <w:rPr>
          <w:sz w:val="20"/>
          <w:szCs w:val="20"/>
        </w:rPr>
        <w:t xml:space="preserve">Responsibilities &amp; </w:t>
      </w:r>
      <w:r w:rsidR="00A94F57" w:rsidRPr="002B0DCA">
        <w:rPr>
          <w:sz w:val="20"/>
          <w:szCs w:val="20"/>
        </w:rPr>
        <w:t>Services</w:t>
      </w:r>
    </w:p>
    <w:p w14:paraId="13833161" w14:textId="77777777" w:rsidR="00A94F57" w:rsidRPr="002B0DCA" w:rsidRDefault="003842C0" w:rsidP="00A94F57">
      <w:pPr>
        <w:ind w:left="720" w:right="180"/>
        <w:rPr>
          <w:sz w:val="20"/>
          <w:szCs w:val="20"/>
        </w:rPr>
      </w:pPr>
      <w:sdt>
        <w:sdtPr>
          <w:rPr>
            <w:rFonts w:eastAsia="MS Gothic"/>
            <w:bCs/>
            <w:iCs/>
            <w:color w:val="000000"/>
            <w:sz w:val="20"/>
            <w:szCs w:val="20"/>
          </w:rPr>
          <w:id w:val="-1666313489"/>
        </w:sdtPr>
        <w:sdtEndPr/>
        <w:sdtContent>
          <w:r w:rsidR="00B23521" w:rsidRPr="002B0DCA">
            <w:rPr>
              <w:rFonts w:ascii="MS Gothic" w:eastAsia="MS Gothic" w:hAnsi="MS Gothic" w:hint="eastAsia"/>
              <w:bCs/>
              <w:iCs/>
              <w:color w:val="000000"/>
              <w:sz w:val="20"/>
              <w:szCs w:val="20"/>
            </w:rPr>
            <w:t>☒</w:t>
          </w:r>
        </w:sdtContent>
      </w:sdt>
      <w:r w:rsidR="00A94F57" w:rsidRPr="002B0DCA">
        <w:rPr>
          <w:sz w:val="20"/>
          <w:szCs w:val="20"/>
        </w:rPr>
        <w:t xml:space="preserve"> Employment, Workplace Rules, </w:t>
      </w:r>
      <w:r w:rsidR="00A94F57" w:rsidRPr="002B0DCA">
        <w:rPr>
          <w:noProof/>
          <w:sz w:val="20"/>
          <w:szCs w:val="20"/>
        </w:rPr>
        <w:t>Benefits</w:t>
      </w:r>
      <w:r w:rsidR="00A94F57" w:rsidRPr="002B0DCA">
        <w:rPr>
          <w:sz w:val="20"/>
          <w:szCs w:val="20"/>
        </w:rPr>
        <w:t xml:space="preserve"> and Governmental Notices</w:t>
      </w:r>
    </w:p>
    <w:p w14:paraId="2B0A1DCC" w14:textId="77777777" w:rsidR="00A94F57" w:rsidRPr="002B0DCA" w:rsidRDefault="003842C0" w:rsidP="00A94F57">
      <w:pPr>
        <w:ind w:left="720" w:right="180"/>
        <w:rPr>
          <w:sz w:val="20"/>
          <w:szCs w:val="20"/>
        </w:rPr>
      </w:pPr>
      <w:sdt>
        <w:sdtPr>
          <w:rPr>
            <w:rFonts w:ascii="MS Gothic" w:eastAsia="MS Gothic" w:hAnsi="MS Gothic"/>
            <w:bCs/>
            <w:iCs/>
            <w:color w:val="000000"/>
            <w:sz w:val="20"/>
            <w:szCs w:val="20"/>
          </w:rPr>
          <w:id w:val="-1361962392"/>
        </w:sdtPr>
        <w:sdtEndPr/>
        <w:sdtContent>
          <w:sdt>
            <w:sdtPr>
              <w:rPr>
                <w:rFonts w:eastAsia="MS Gothic"/>
                <w:bCs/>
                <w:iCs/>
                <w:color w:val="000000"/>
                <w:sz w:val="20"/>
                <w:szCs w:val="20"/>
              </w:rPr>
              <w:id w:val="-1703466047"/>
            </w:sdtPr>
            <w:sdtEndPr/>
            <w:sdtContent>
              <w:r w:rsidR="000F1085" w:rsidRPr="002B0DCA">
                <w:rPr>
                  <w:rFonts w:ascii="MS Gothic" w:eastAsia="MS Gothic" w:hAnsi="MS Gothic" w:hint="eastAsia"/>
                  <w:bCs/>
                  <w:iCs/>
                  <w:color w:val="000000"/>
                  <w:sz w:val="20"/>
                  <w:szCs w:val="20"/>
                </w:rPr>
                <w:t>☒</w:t>
              </w:r>
            </w:sdtContent>
          </w:sdt>
          <w:r w:rsidR="000F1085" w:rsidRPr="002B0DCA" w:rsidDel="000F1085">
            <w:rPr>
              <w:rFonts w:ascii="MS Gothic" w:eastAsia="MS Gothic" w:hAnsi="MS Gothic" w:hint="eastAsia"/>
              <w:bCs/>
              <w:iCs/>
              <w:color w:val="000000"/>
              <w:sz w:val="20"/>
              <w:szCs w:val="20"/>
            </w:rPr>
            <w:t xml:space="preserve"> </w:t>
          </w:r>
        </w:sdtContent>
      </w:sdt>
      <w:r w:rsidR="00A94F57" w:rsidRPr="002B0DCA">
        <w:rPr>
          <w:sz w:val="20"/>
          <w:szCs w:val="20"/>
        </w:rPr>
        <w:t>Administrative and Financial</w:t>
      </w:r>
    </w:p>
    <w:p w14:paraId="3E25E07E" w14:textId="77777777" w:rsidR="00A94F57" w:rsidRPr="002B0DCA" w:rsidRDefault="003842C0" w:rsidP="00A94F57">
      <w:pPr>
        <w:ind w:left="720" w:right="180"/>
        <w:rPr>
          <w:sz w:val="20"/>
          <w:szCs w:val="20"/>
        </w:rPr>
      </w:pPr>
      <w:sdt>
        <w:sdtPr>
          <w:rPr>
            <w:rFonts w:ascii="MS Gothic" w:eastAsia="MS Gothic" w:hAnsi="MS Gothic"/>
            <w:bCs/>
            <w:iCs/>
            <w:color w:val="000000"/>
            <w:sz w:val="20"/>
            <w:szCs w:val="20"/>
          </w:rPr>
          <w:id w:val="1961069125"/>
        </w:sdtPr>
        <w:sdtEndPr/>
        <w:sdtContent>
          <w:r w:rsidR="00B23521" w:rsidRPr="002B0DCA">
            <w:rPr>
              <w:rFonts w:ascii="MS Gothic" w:eastAsia="MS Gothic" w:hAnsi="MS Gothic" w:hint="eastAsia"/>
              <w:bCs/>
              <w:iCs/>
              <w:color w:val="000000"/>
              <w:sz w:val="20"/>
              <w:szCs w:val="20"/>
            </w:rPr>
            <w:t>☒</w:t>
          </w:r>
        </w:sdtContent>
      </w:sdt>
      <w:r w:rsidR="00A94F57" w:rsidRPr="002B0DCA">
        <w:rPr>
          <w:sz w:val="20"/>
          <w:szCs w:val="20"/>
        </w:rPr>
        <w:t xml:space="preserve"> Information Technology</w:t>
      </w:r>
    </w:p>
    <w:p w14:paraId="4E222341" w14:textId="77777777" w:rsidR="00A94F57" w:rsidRPr="002B0DCA" w:rsidRDefault="003842C0" w:rsidP="00A94F57">
      <w:pPr>
        <w:ind w:left="720" w:right="180"/>
        <w:rPr>
          <w:sz w:val="20"/>
          <w:szCs w:val="20"/>
        </w:rPr>
      </w:pPr>
      <w:sdt>
        <w:sdtPr>
          <w:rPr>
            <w:rFonts w:ascii="MS Gothic" w:eastAsia="MS Gothic" w:hAnsi="MS Gothic"/>
            <w:bCs/>
            <w:iCs/>
            <w:color w:val="000000"/>
            <w:sz w:val="20"/>
            <w:szCs w:val="20"/>
          </w:rPr>
          <w:id w:val="-386330788"/>
        </w:sdtPr>
        <w:sdtEndPr/>
        <w:sdtContent>
          <w:sdt>
            <w:sdtPr>
              <w:rPr>
                <w:rFonts w:ascii="MS Gothic" w:eastAsia="MS Gothic" w:hAnsi="MS Gothic"/>
                <w:bCs/>
                <w:iCs/>
                <w:color w:val="000000"/>
                <w:sz w:val="20"/>
                <w:szCs w:val="20"/>
              </w:rPr>
              <w:id w:val="-271242017"/>
            </w:sdtPr>
            <w:sdtEndPr/>
            <w:sdtContent>
              <w:r w:rsidR="004E6E49" w:rsidRPr="002B0DCA">
                <w:rPr>
                  <w:rFonts w:ascii="MS Gothic" w:eastAsia="MS Gothic" w:hAnsi="MS Gothic" w:hint="eastAsia"/>
                  <w:bCs/>
                  <w:iCs/>
                  <w:color w:val="000000"/>
                  <w:sz w:val="20"/>
                  <w:szCs w:val="20"/>
                </w:rPr>
                <w:t>☒</w:t>
              </w:r>
            </w:sdtContent>
          </w:sdt>
        </w:sdtContent>
      </w:sdt>
      <w:r w:rsidR="00944B98" w:rsidRPr="002B0DCA">
        <w:rPr>
          <w:sz w:val="20"/>
          <w:szCs w:val="20"/>
        </w:rPr>
        <w:t xml:space="preserve"> University Facilities, Equipment, and Property</w:t>
      </w:r>
    </w:p>
    <w:p w14:paraId="0EAF5A85" w14:textId="77777777" w:rsidR="00A94F57" w:rsidRPr="002B0DCA" w:rsidRDefault="003842C0" w:rsidP="00A94F57">
      <w:pPr>
        <w:pStyle w:val="ListParagraph"/>
        <w:rPr>
          <w:sz w:val="20"/>
          <w:szCs w:val="20"/>
        </w:rPr>
      </w:pPr>
      <w:sdt>
        <w:sdtPr>
          <w:rPr>
            <w:rFonts w:ascii="MS Gothic" w:eastAsia="MS Gothic" w:hAnsi="MS Gothic"/>
            <w:bCs/>
            <w:iCs/>
            <w:color w:val="000000"/>
            <w:sz w:val="20"/>
            <w:szCs w:val="20"/>
          </w:rPr>
          <w:id w:val="-1896346337"/>
        </w:sdtPr>
        <w:sdtEndPr/>
        <w:sdtContent>
          <w:r w:rsidR="00D426C4" w:rsidRPr="002B0DCA">
            <w:rPr>
              <w:rFonts w:ascii="MS Gothic" w:eastAsia="MS Gothic" w:hAnsi="MS Gothic" w:hint="eastAsia"/>
              <w:bCs/>
              <w:iCs/>
              <w:color w:val="000000"/>
              <w:sz w:val="20"/>
              <w:szCs w:val="20"/>
            </w:rPr>
            <w:t>☐</w:t>
          </w:r>
        </w:sdtContent>
      </w:sdt>
      <w:r w:rsidR="00944B98" w:rsidRPr="002B0DCA">
        <w:rPr>
          <w:sz w:val="20"/>
          <w:szCs w:val="20"/>
        </w:rPr>
        <w:t xml:space="preserve"> Public Safety, Environmental Health, and Emergency Management</w:t>
      </w:r>
    </w:p>
    <w:p w14:paraId="783054FD" w14:textId="77777777" w:rsidR="00D426C4" w:rsidRPr="002B0DCA" w:rsidRDefault="003842C0" w:rsidP="00265C80">
      <w:pPr>
        <w:pStyle w:val="ListParagraph"/>
        <w:spacing w:line="360" w:lineRule="auto"/>
        <w:rPr>
          <w:sz w:val="20"/>
          <w:szCs w:val="20"/>
        </w:rPr>
      </w:pPr>
      <w:sdt>
        <w:sdtPr>
          <w:rPr>
            <w:rFonts w:ascii="MS Gothic" w:eastAsia="MS Gothic" w:hAnsi="MS Gothic"/>
            <w:bCs/>
            <w:iCs/>
            <w:color w:val="000000"/>
            <w:sz w:val="20"/>
            <w:szCs w:val="20"/>
          </w:rPr>
          <w:id w:val="-1189449322"/>
        </w:sdtPr>
        <w:sdtEndPr/>
        <w:sdtContent>
          <w:sdt>
            <w:sdtPr>
              <w:rPr>
                <w:rFonts w:ascii="MS Gothic" w:eastAsia="MS Gothic" w:hAnsi="MS Gothic"/>
                <w:bCs/>
                <w:iCs/>
                <w:color w:val="000000"/>
                <w:sz w:val="20"/>
                <w:szCs w:val="20"/>
              </w:rPr>
              <w:id w:val="1639303059"/>
            </w:sdtPr>
            <w:sdtEndPr/>
            <w:sdtContent>
              <w:r w:rsidR="00704DE4" w:rsidRPr="002B0DCA">
                <w:rPr>
                  <w:rFonts w:ascii="MS Gothic" w:eastAsia="MS Gothic" w:hAnsi="MS Gothic" w:hint="eastAsia"/>
                  <w:bCs/>
                  <w:iCs/>
                  <w:color w:val="000000"/>
                  <w:sz w:val="20"/>
                  <w:szCs w:val="20"/>
                </w:rPr>
                <w:t>☒</w:t>
              </w:r>
            </w:sdtContent>
          </w:sdt>
        </w:sdtContent>
      </w:sdt>
      <w:r w:rsidR="00D426C4" w:rsidRPr="002B0DCA">
        <w:rPr>
          <w:sz w:val="20"/>
          <w:szCs w:val="20"/>
        </w:rPr>
        <w:t>Campus and Governmental Notices</w:t>
      </w:r>
    </w:p>
    <w:p w14:paraId="71396259" w14:textId="77777777" w:rsidR="0032465C" w:rsidRPr="002B0DCA" w:rsidRDefault="0032465C" w:rsidP="00265C80">
      <w:pPr>
        <w:pStyle w:val="ListParagraph"/>
        <w:numPr>
          <w:ilvl w:val="0"/>
          <w:numId w:val="3"/>
        </w:numPr>
        <w:spacing w:before="240" w:line="360" w:lineRule="auto"/>
        <w:ind w:left="360" w:right="187"/>
        <w:rPr>
          <w:sz w:val="20"/>
          <w:szCs w:val="20"/>
        </w:rPr>
      </w:pPr>
      <w:r w:rsidRPr="002B0DCA">
        <w:rPr>
          <w:sz w:val="20"/>
          <w:szCs w:val="20"/>
        </w:rPr>
        <w:t xml:space="preserve">Date Established: </w:t>
      </w:r>
      <w:r w:rsidR="00B23521" w:rsidRPr="002B0DCA">
        <w:rPr>
          <w:sz w:val="20"/>
          <w:szCs w:val="20"/>
        </w:rPr>
        <w:t xml:space="preserve"> </w:t>
      </w:r>
      <w:r w:rsidR="00240BE4" w:rsidRPr="002B0DCA">
        <w:rPr>
          <w:sz w:val="20"/>
          <w:szCs w:val="20"/>
        </w:rPr>
        <w:t>xx/xx/20xx</w:t>
      </w:r>
    </w:p>
    <w:p w14:paraId="417ED4A9"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 xml:space="preserve">Date Policy is Effective: </w:t>
      </w:r>
      <w:r w:rsidR="00240BE4" w:rsidRPr="002B0DCA">
        <w:rPr>
          <w:sz w:val="20"/>
          <w:szCs w:val="20"/>
        </w:rPr>
        <w:t>xx/xx</w:t>
      </w:r>
      <w:r w:rsidR="00B23521" w:rsidRPr="002B0DCA">
        <w:rPr>
          <w:sz w:val="20"/>
          <w:szCs w:val="20"/>
        </w:rPr>
        <w:t>/</w:t>
      </w:r>
      <w:r w:rsidR="00240BE4" w:rsidRPr="002B0DCA">
        <w:rPr>
          <w:sz w:val="20"/>
          <w:szCs w:val="20"/>
        </w:rPr>
        <w:t>20xx</w:t>
      </w:r>
      <w:r w:rsidRPr="002B0DCA">
        <w:rPr>
          <w:sz w:val="20"/>
          <w:szCs w:val="20"/>
        </w:rPr>
        <w:t xml:space="preserve"> </w:t>
      </w:r>
    </w:p>
    <w:p w14:paraId="39B139A0"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Date Last Revised: [</w:t>
      </w:r>
      <w:r w:rsidRPr="002B0DCA">
        <w:rPr>
          <w:i/>
          <w:sz w:val="20"/>
          <w:szCs w:val="20"/>
        </w:rPr>
        <w:t>mm/dd/yyyy</w:t>
      </w:r>
      <w:r w:rsidRPr="002B0DCA">
        <w:rPr>
          <w:sz w:val="20"/>
          <w:szCs w:val="20"/>
        </w:rPr>
        <w:t>]</w:t>
      </w:r>
    </w:p>
    <w:p w14:paraId="5EFC8DFC"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Next Review Date: [</w:t>
      </w:r>
      <w:r w:rsidRPr="002B0DCA">
        <w:rPr>
          <w:i/>
          <w:sz w:val="20"/>
          <w:szCs w:val="20"/>
        </w:rPr>
        <w:t>mm/dd/yyyy</w:t>
      </w:r>
      <w:r w:rsidRPr="002B0DCA">
        <w:rPr>
          <w:sz w:val="20"/>
          <w:szCs w:val="20"/>
        </w:rPr>
        <w:t>]</w:t>
      </w:r>
    </w:p>
    <w:p w14:paraId="19DFD4BD" w14:textId="77777777" w:rsidR="0032465C" w:rsidRPr="002B0DCA" w:rsidRDefault="0032465C" w:rsidP="00265C80">
      <w:pPr>
        <w:pStyle w:val="ListParagraph"/>
        <w:numPr>
          <w:ilvl w:val="0"/>
          <w:numId w:val="3"/>
        </w:numPr>
        <w:spacing w:line="360" w:lineRule="auto"/>
        <w:ind w:left="360" w:right="187"/>
        <w:rPr>
          <w:sz w:val="20"/>
          <w:szCs w:val="20"/>
        </w:rPr>
      </w:pPr>
      <w:r w:rsidRPr="002B0DCA">
        <w:rPr>
          <w:sz w:val="20"/>
          <w:szCs w:val="20"/>
        </w:rPr>
        <w:t>Does this policy require recurring communication?</w:t>
      </w:r>
    </w:p>
    <w:p w14:paraId="3AF1287C" w14:textId="77777777" w:rsidR="0032465C" w:rsidRPr="002B0DCA" w:rsidRDefault="003842C0" w:rsidP="00AD605B">
      <w:pPr>
        <w:ind w:left="720" w:right="180"/>
        <w:rPr>
          <w:rFonts w:eastAsia="Calibri"/>
          <w:sz w:val="20"/>
          <w:szCs w:val="20"/>
        </w:rPr>
      </w:pPr>
      <w:sdt>
        <w:sdtPr>
          <w:rPr>
            <w:rFonts w:ascii="MS Gothic" w:eastAsia="MS Gothic" w:hAnsi="MS Gothic"/>
            <w:bCs/>
            <w:iCs/>
            <w:color w:val="000000"/>
            <w:sz w:val="20"/>
            <w:szCs w:val="20"/>
          </w:rPr>
          <w:id w:val="1904866214"/>
        </w:sdtPr>
        <w:sdtEndPr/>
        <w:sdtContent>
          <w:r w:rsidR="00944B98" w:rsidRPr="002B0DCA">
            <w:rPr>
              <w:rFonts w:ascii="MS Gothic" w:eastAsia="MS Gothic" w:hAnsi="MS Gothic" w:hint="eastAsia"/>
              <w:bCs/>
              <w:iCs/>
              <w:color w:val="000000"/>
              <w:sz w:val="20"/>
              <w:szCs w:val="20"/>
            </w:rPr>
            <w:t>☐</w:t>
          </w:r>
        </w:sdtContent>
      </w:sdt>
      <w:r w:rsidR="00944B98" w:rsidRPr="002B0DCA">
        <w:rPr>
          <w:bCs/>
          <w:iCs/>
          <w:color w:val="000000"/>
          <w:sz w:val="20"/>
          <w:szCs w:val="20"/>
        </w:rPr>
        <w:t xml:space="preserve"> </w:t>
      </w:r>
      <w:r w:rsidR="0032465C" w:rsidRPr="002B0DCA">
        <w:rPr>
          <w:sz w:val="20"/>
          <w:szCs w:val="20"/>
        </w:rPr>
        <w:t>Yes</w:t>
      </w:r>
      <w:r w:rsidR="0032465C" w:rsidRPr="002B0DCA">
        <w:rPr>
          <w:rFonts w:eastAsia="Calibri"/>
          <w:sz w:val="20"/>
          <w:szCs w:val="20"/>
        </w:rPr>
        <w:t xml:space="preserve"> </w:t>
      </w:r>
      <w:r w:rsidR="00944B98" w:rsidRPr="002B0DCA">
        <w:rPr>
          <w:rFonts w:eastAsia="Calibri"/>
          <w:sz w:val="20"/>
          <w:szCs w:val="20"/>
        </w:rPr>
        <w:t>-</w:t>
      </w:r>
      <w:r w:rsidR="0032465C" w:rsidRPr="002B0DCA">
        <w:rPr>
          <w:rFonts w:eastAsia="Calibri"/>
          <w:sz w:val="20"/>
          <w:szCs w:val="20"/>
        </w:rPr>
        <w:t xml:space="preserve"> Frequency___________</w:t>
      </w:r>
    </w:p>
    <w:p w14:paraId="50AADE02" w14:textId="77777777" w:rsidR="00944B98" w:rsidRPr="002B0DCA" w:rsidRDefault="003842C0" w:rsidP="00A41676">
      <w:pPr>
        <w:ind w:left="720" w:right="180"/>
        <w:rPr>
          <w:sz w:val="20"/>
          <w:szCs w:val="20"/>
        </w:rPr>
      </w:pPr>
      <w:sdt>
        <w:sdtPr>
          <w:rPr>
            <w:rFonts w:ascii="MS Gothic" w:eastAsia="MS Gothic" w:hAnsi="MS Gothic"/>
            <w:bCs/>
            <w:iCs/>
            <w:color w:val="000000"/>
            <w:sz w:val="20"/>
            <w:szCs w:val="20"/>
          </w:rPr>
          <w:id w:val="-1063170866"/>
        </w:sdtPr>
        <w:sdtEndPr/>
        <w:sdtContent>
          <w:r w:rsidR="00E316A5" w:rsidRPr="002B0DCA">
            <w:rPr>
              <w:rFonts w:ascii="MS Gothic" w:eastAsia="MS Gothic" w:hAnsi="MS Gothic" w:hint="eastAsia"/>
              <w:bCs/>
              <w:iCs/>
              <w:color w:val="000000"/>
              <w:sz w:val="20"/>
              <w:szCs w:val="20"/>
            </w:rPr>
            <w:t>☒</w:t>
          </w:r>
        </w:sdtContent>
      </w:sdt>
      <w:r w:rsidR="00944B98" w:rsidRPr="002B0DCA">
        <w:rPr>
          <w:bCs/>
          <w:iCs/>
          <w:color w:val="000000"/>
          <w:sz w:val="20"/>
          <w:szCs w:val="20"/>
        </w:rPr>
        <w:t xml:space="preserve"> </w:t>
      </w:r>
      <w:r w:rsidR="0032465C" w:rsidRPr="002B0DCA">
        <w:rPr>
          <w:rFonts w:eastAsia="Calibri"/>
          <w:sz w:val="20"/>
          <w:szCs w:val="20"/>
        </w:rPr>
        <w:t xml:space="preserve">No  </w:t>
      </w:r>
      <w:r w:rsidR="00944B98" w:rsidRPr="002B0DCA">
        <w:rPr>
          <w:sz w:val="20"/>
          <w:szCs w:val="20"/>
        </w:rPr>
        <w:br w:type="page"/>
      </w:r>
    </w:p>
    <w:p w14:paraId="4613DF13" w14:textId="77777777" w:rsidR="004950B9" w:rsidRPr="002B0DCA" w:rsidRDefault="004950B9" w:rsidP="00265C80">
      <w:pPr>
        <w:pStyle w:val="ListParagraph"/>
        <w:numPr>
          <w:ilvl w:val="0"/>
          <w:numId w:val="3"/>
        </w:numPr>
        <w:spacing w:before="240" w:line="360" w:lineRule="auto"/>
        <w:ind w:left="360" w:right="187"/>
        <w:rPr>
          <w:sz w:val="20"/>
          <w:szCs w:val="20"/>
        </w:rPr>
      </w:pPr>
      <w:r w:rsidRPr="002B0DCA">
        <w:rPr>
          <w:sz w:val="20"/>
          <w:szCs w:val="20"/>
        </w:rPr>
        <w:lastRenderedPageBreak/>
        <w:t>Impact Statements:</w:t>
      </w:r>
    </w:p>
    <w:p w14:paraId="0361A868" w14:textId="77777777" w:rsidR="004950B9" w:rsidRPr="002B0DCA" w:rsidRDefault="004950B9" w:rsidP="00265C80">
      <w:pPr>
        <w:pStyle w:val="ListParagraph"/>
        <w:numPr>
          <w:ilvl w:val="1"/>
          <w:numId w:val="3"/>
        </w:numPr>
        <w:spacing w:before="120" w:line="240" w:lineRule="atLeast"/>
        <w:ind w:left="720" w:right="187"/>
        <w:rPr>
          <w:sz w:val="20"/>
          <w:szCs w:val="20"/>
        </w:rPr>
      </w:pPr>
      <w:r w:rsidRPr="002B0DCA">
        <w:rPr>
          <w:sz w:val="20"/>
          <w:szCs w:val="20"/>
        </w:rPr>
        <w:t xml:space="preserve">Identify any additional </w:t>
      </w:r>
      <w:r w:rsidRPr="002B0DCA">
        <w:rPr>
          <w:sz w:val="20"/>
          <w:szCs w:val="20"/>
          <w:u w:val="single"/>
        </w:rPr>
        <w:t>financial</w:t>
      </w:r>
      <w:r w:rsidRPr="002B0DCA">
        <w:rPr>
          <w:sz w:val="20"/>
          <w:szCs w:val="20"/>
        </w:rPr>
        <w:t xml:space="preserve"> or other resources that may be needed to implement this policy and/or any potential revenues/cost savings that may result.</w:t>
      </w:r>
    </w:p>
    <w:p w14:paraId="548662B7" w14:textId="0BE9E624" w:rsidR="007B7B2A" w:rsidRPr="002B0DCA" w:rsidRDefault="00306A60" w:rsidP="002B0DCA">
      <w:pPr>
        <w:pStyle w:val="CommentText"/>
        <w:numPr>
          <w:ilvl w:val="0"/>
          <w:numId w:val="12"/>
        </w:numPr>
        <w:spacing w:line="240" w:lineRule="atLeast"/>
        <w:ind w:left="1080"/>
      </w:pPr>
      <w:r w:rsidRPr="002B0DCA">
        <w:t xml:space="preserve">There are costs associated with </w:t>
      </w:r>
      <w:r w:rsidRPr="002B0DCA">
        <w:rPr>
          <w:noProof/>
        </w:rPr>
        <w:t>employee</w:t>
      </w:r>
      <w:r w:rsidR="0064232F" w:rsidRPr="002B0DCA">
        <w:t xml:space="preserve"> or third-party</w:t>
      </w:r>
      <w:r w:rsidRPr="002B0DCA">
        <w:t xml:space="preserve"> time to convert, assess, and </w:t>
      </w:r>
      <w:r w:rsidR="00F069B9">
        <w:t xml:space="preserve">provide equivalent alternatives to </w:t>
      </w:r>
      <w:r w:rsidRPr="002B0DCA">
        <w:t>our information and communication technologies</w:t>
      </w:r>
      <w:r w:rsidR="00010830" w:rsidRPr="002B0DCA">
        <w:t xml:space="preserve"> and associated content</w:t>
      </w:r>
      <w:r w:rsidRPr="002B0DCA">
        <w:t xml:space="preserve">.  </w:t>
      </w:r>
    </w:p>
    <w:p w14:paraId="259C7438" w14:textId="58713FBB" w:rsidR="00263DD0" w:rsidRPr="002B0DCA" w:rsidRDefault="007B7B2A" w:rsidP="002B0DCA">
      <w:pPr>
        <w:pStyle w:val="ListParagraph"/>
        <w:numPr>
          <w:ilvl w:val="2"/>
          <w:numId w:val="3"/>
        </w:numPr>
        <w:spacing w:line="240" w:lineRule="atLeast"/>
        <w:ind w:left="1080" w:right="180"/>
        <w:rPr>
          <w:sz w:val="20"/>
          <w:szCs w:val="20"/>
        </w:rPr>
      </w:pPr>
      <w:r w:rsidRPr="002B0DCA">
        <w:rPr>
          <w:sz w:val="20"/>
          <w:szCs w:val="20"/>
        </w:rPr>
        <w:t>There are costs associated with</w:t>
      </w:r>
      <w:r w:rsidR="00263DD0" w:rsidRPr="002B0DCA">
        <w:rPr>
          <w:sz w:val="20"/>
          <w:szCs w:val="20"/>
        </w:rPr>
        <w:t xml:space="preserve"> caption</w:t>
      </w:r>
      <w:r w:rsidRPr="002B0DCA">
        <w:rPr>
          <w:sz w:val="20"/>
          <w:szCs w:val="20"/>
        </w:rPr>
        <w:t>ing</w:t>
      </w:r>
      <w:r w:rsidR="00263DD0" w:rsidRPr="002B0DCA">
        <w:rPr>
          <w:sz w:val="20"/>
          <w:szCs w:val="20"/>
        </w:rPr>
        <w:t xml:space="preserve"> video content as it </w:t>
      </w:r>
      <w:r w:rsidR="00263DD0" w:rsidRPr="002B0DCA">
        <w:rPr>
          <w:noProof/>
          <w:sz w:val="20"/>
          <w:szCs w:val="20"/>
        </w:rPr>
        <w:t>is produced</w:t>
      </w:r>
      <w:r w:rsidR="00263DD0" w:rsidRPr="002B0DCA">
        <w:rPr>
          <w:sz w:val="20"/>
          <w:szCs w:val="20"/>
        </w:rPr>
        <w:t xml:space="preserve"> as well as </w:t>
      </w:r>
      <w:r w:rsidR="00704DE4">
        <w:rPr>
          <w:sz w:val="20"/>
          <w:szCs w:val="20"/>
        </w:rPr>
        <w:t>providing</w:t>
      </w:r>
      <w:r w:rsidR="00316885" w:rsidRPr="002B0DCA">
        <w:rPr>
          <w:sz w:val="20"/>
          <w:szCs w:val="20"/>
        </w:rPr>
        <w:t xml:space="preserve"> real-time captioning services for events</w:t>
      </w:r>
      <w:r w:rsidR="00704DE4">
        <w:rPr>
          <w:sz w:val="20"/>
          <w:szCs w:val="20"/>
        </w:rPr>
        <w:t xml:space="preserve"> when it is provided and/or</w:t>
      </w:r>
      <w:r w:rsidR="00316885" w:rsidRPr="002B0DCA">
        <w:rPr>
          <w:sz w:val="20"/>
          <w:szCs w:val="20"/>
        </w:rPr>
        <w:t xml:space="preserve"> requested</w:t>
      </w:r>
      <w:r w:rsidR="00AE1E5B" w:rsidRPr="002B0DCA">
        <w:rPr>
          <w:sz w:val="20"/>
          <w:szCs w:val="20"/>
        </w:rPr>
        <w:t>.</w:t>
      </w:r>
    </w:p>
    <w:p w14:paraId="7E236121" w14:textId="77777777" w:rsidR="0032465C" w:rsidRPr="002B0DCA" w:rsidRDefault="0032465C" w:rsidP="00265C80">
      <w:pPr>
        <w:pStyle w:val="ListParagraph"/>
        <w:numPr>
          <w:ilvl w:val="1"/>
          <w:numId w:val="3"/>
        </w:numPr>
        <w:spacing w:before="120" w:line="240" w:lineRule="atLeast"/>
        <w:ind w:left="720" w:right="187"/>
        <w:rPr>
          <w:sz w:val="20"/>
          <w:szCs w:val="20"/>
        </w:rPr>
      </w:pPr>
      <w:r w:rsidRPr="002B0DCA">
        <w:rPr>
          <w:sz w:val="20"/>
          <w:szCs w:val="20"/>
        </w:rPr>
        <w:t xml:space="preserve">List any potential fines or penalties that could be levied </w:t>
      </w:r>
      <w:r w:rsidR="00AD6648" w:rsidRPr="002B0DCA">
        <w:rPr>
          <w:sz w:val="20"/>
          <w:szCs w:val="20"/>
        </w:rPr>
        <w:t xml:space="preserve">against the </w:t>
      </w:r>
      <w:r w:rsidR="00BE6466" w:rsidRPr="002B0DCA">
        <w:rPr>
          <w:sz w:val="20"/>
          <w:szCs w:val="20"/>
        </w:rPr>
        <w:t>u</w:t>
      </w:r>
      <w:r w:rsidR="00AD6648" w:rsidRPr="002B0DCA">
        <w:rPr>
          <w:sz w:val="20"/>
          <w:szCs w:val="20"/>
        </w:rPr>
        <w:t xml:space="preserve">niversity </w:t>
      </w:r>
      <w:r w:rsidRPr="002B0DCA">
        <w:rPr>
          <w:sz w:val="20"/>
          <w:szCs w:val="20"/>
        </w:rPr>
        <w:t xml:space="preserve">by a </w:t>
      </w:r>
      <w:r w:rsidR="004950B9" w:rsidRPr="002B0DCA">
        <w:rPr>
          <w:sz w:val="20"/>
          <w:szCs w:val="20"/>
        </w:rPr>
        <w:t>governmental</w:t>
      </w:r>
      <w:r w:rsidRPr="002B0DCA">
        <w:rPr>
          <w:sz w:val="20"/>
          <w:szCs w:val="20"/>
        </w:rPr>
        <w:t xml:space="preserve"> </w:t>
      </w:r>
      <w:r w:rsidR="00867ED9" w:rsidRPr="002B0DCA">
        <w:rPr>
          <w:sz w:val="20"/>
          <w:szCs w:val="20"/>
        </w:rPr>
        <w:t xml:space="preserve">body </w:t>
      </w:r>
      <w:r w:rsidRPr="002B0DCA">
        <w:rPr>
          <w:sz w:val="20"/>
          <w:szCs w:val="20"/>
        </w:rPr>
        <w:t xml:space="preserve">or regulatory agency </w:t>
      </w:r>
      <w:r w:rsidR="00BC4C66" w:rsidRPr="002B0DCA">
        <w:rPr>
          <w:sz w:val="20"/>
          <w:szCs w:val="20"/>
        </w:rPr>
        <w:t>as a result of</w:t>
      </w:r>
      <w:r w:rsidRPr="002B0DCA">
        <w:rPr>
          <w:sz w:val="20"/>
          <w:szCs w:val="20"/>
        </w:rPr>
        <w:t xml:space="preserve"> </w:t>
      </w:r>
      <w:r w:rsidRPr="002B0DCA">
        <w:rPr>
          <w:sz w:val="20"/>
          <w:szCs w:val="20"/>
          <w:u w:val="single"/>
        </w:rPr>
        <w:t>non-compliance</w:t>
      </w:r>
      <w:r w:rsidR="00BC4C66" w:rsidRPr="002B0DCA">
        <w:rPr>
          <w:sz w:val="20"/>
          <w:szCs w:val="20"/>
        </w:rPr>
        <w:t xml:space="preserve"> with this policy</w:t>
      </w:r>
      <w:r w:rsidRPr="002B0DCA">
        <w:rPr>
          <w:sz w:val="20"/>
          <w:szCs w:val="20"/>
        </w:rPr>
        <w:t>.</w:t>
      </w:r>
      <w:r w:rsidR="00942DB9" w:rsidRPr="002B0DCA">
        <w:rPr>
          <w:sz w:val="20"/>
          <w:szCs w:val="20"/>
        </w:rPr>
        <w:t xml:space="preserve">  If none, please indicate.</w:t>
      </w:r>
    </w:p>
    <w:p w14:paraId="2E52388F" w14:textId="77777777" w:rsidR="0032465C" w:rsidRPr="002B0DCA" w:rsidRDefault="00D975DD" w:rsidP="00265C80">
      <w:pPr>
        <w:pStyle w:val="ListParagraph"/>
        <w:numPr>
          <w:ilvl w:val="2"/>
          <w:numId w:val="3"/>
        </w:numPr>
        <w:spacing w:before="120" w:line="240" w:lineRule="atLeast"/>
        <w:ind w:left="1080" w:right="180"/>
        <w:rPr>
          <w:sz w:val="20"/>
          <w:szCs w:val="20"/>
        </w:rPr>
      </w:pPr>
      <w:r w:rsidRPr="002B0DCA">
        <w:rPr>
          <w:sz w:val="20"/>
          <w:szCs w:val="20"/>
        </w:rPr>
        <w:t xml:space="preserve">See Section II of the policy. </w:t>
      </w:r>
    </w:p>
    <w:p w14:paraId="23508C4F" w14:textId="77777777" w:rsidR="004950B9" w:rsidRPr="002B0DCA" w:rsidRDefault="00215E65" w:rsidP="00265C80">
      <w:pPr>
        <w:pStyle w:val="ListParagraph"/>
        <w:numPr>
          <w:ilvl w:val="1"/>
          <w:numId w:val="3"/>
        </w:numPr>
        <w:spacing w:before="120" w:line="240" w:lineRule="atLeast"/>
        <w:ind w:left="720" w:right="180"/>
        <w:rPr>
          <w:sz w:val="20"/>
          <w:szCs w:val="20"/>
        </w:rPr>
      </w:pPr>
      <w:r w:rsidRPr="002B0DCA">
        <w:rPr>
          <w:sz w:val="20"/>
          <w:szCs w:val="20"/>
        </w:rPr>
        <w:t>Assuming implementation of this policy, identify any</w:t>
      </w:r>
      <w:r w:rsidR="001A6491" w:rsidRPr="002B0DCA">
        <w:rPr>
          <w:sz w:val="20"/>
          <w:szCs w:val="20"/>
        </w:rPr>
        <w:t xml:space="preserve"> </w:t>
      </w:r>
      <w:r w:rsidRPr="002B0DCA">
        <w:rPr>
          <w:sz w:val="20"/>
          <w:szCs w:val="20"/>
        </w:rPr>
        <w:t xml:space="preserve">potential </w:t>
      </w:r>
      <w:r w:rsidR="001A6491" w:rsidRPr="002B0DCA">
        <w:rPr>
          <w:sz w:val="20"/>
          <w:szCs w:val="20"/>
          <w:u w:val="single"/>
        </w:rPr>
        <w:t>public relations</w:t>
      </w:r>
      <w:r w:rsidR="001A6491" w:rsidRPr="002B0DCA">
        <w:rPr>
          <w:sz w:val="20"/>
          <w:szCs w:val="20"/>
        </w:rPr>
        <w:t xml:space="preserve"> i</w:t>
      </w:r>
      <w:r w:rsidRPr="002B0DCA">
        <w:rPr>
          <w:sz w:val="20"/>
          <w:szCs w:val="20"/>
        </w:rPr>
        <w:t>ssues that may need to be addressed</w:t>
      </w:r>
      <w:r w:rsidR="001A6491" w:rsidRPr="002B0DCA">
        <w:rPr>
          <w:sz w:val="20"/>
          <w:szCs w:val="20"/>
        </w:rPr>
        <w:t xml:space="preserve"> </w:t>
      </w:r>
      <w:r w:rsidRPr="002B0DCA">
        <w:rPr>
          <w:sz w:val="20"/>
          <w:szCs w:val="20"/>
        </w:rPr>
        <w:t>by the university</w:t>
      </w:r>
      <w:r w:rsidR="001A6491" w:rsidRPr="002B0DCA">
        <w:rPr>
          <w:sz w:val="20"/>
          <w:szCs w:val="20"/>
        </w:rPr>
        <w:t xml:space="preserve"> within the local campus community and</w:t>
      </w:r>
      <w:r w:rsidR="00F81F9A" w:rsidRPr="002B0DCA">
        <w:rPr>
          <w:sz w:val="20"/>
          <w:szCs w:val="20"/>
        </w:rPr>
        <w:t>/or</w:t>
      </w:r>
      <w:r w:rsidR="001A6491" w:rsidRPr="002B0DCA">
        <w:rPr>
          <w:sz w:val="20"/>
          <w:szCs w:val="20"/>
        </w:rPr>
        <w:t xml:space="preserve"> the general public (if applicable)</w:t>
      </w:r>
      <w:r w:rsidRPr="002B0DCA">
        <w:rPr>
          <w:sz w:val="20"/>
          <w:szCs w:val="20"/>
        </w:rPr>
        <w:t>.</w:t>
      </w:r>
    </w:p>
    <w:p w14:paraId="64237BAD" w14:textId="77777777" w:rsidR="0032465C" w:rsidRDefault="00D975DD" w:rsidP="00265C80">
      <w:pPr>
        <w:pStyle w:val="ListParagraph"/>
        <w:numPr>
          <w:ilvl w:val="2"/>
          <w:numId w:val="3"/>
        </w:numPr>
        <w:spacing w:before="120" w:line="240" w:lineRule="atLeast"/>
        <w:ind w:left="1080" w:right="180"/>
        <w:rPr>
          <w:sz w:val="20"/>
          <w:szCs w:val="20"/>
        </w:rPr>
      </w:pPr>
      <w:r w:rsidRPr="002B0DCA">
        <w:rPr>
          <w:sz w:val="20"/>
          <w:szCs w:val="20"/>
        </w:rPr>
        <w:t xml:space="preserve">If the policy is </w:t>
      </w:r>
      <w:r w:rsidRPr="002B0DCA">
        <w:rPr>
          <w:b/>
          <w:sz w:val="20"/>
          <w:szCs w:val="20"/>
        </w:rPr>
        <w:t xml:space="preserve">not </w:t>
      </w:r>
      <w:r w:rsidRPr="002B0DCA">
        <w:rPr>
          <w:sz w:val="20"/>
          <w:szCs w:val="20"/>
        </w:rPr>
        <w:t xml:space="preserve">adopted, the University can expect on-going public relations issues and ramifications of non-compliance in terms of litigation and audits. </w:t>
      </w:r>
    </w:p>
    <w:p w14:paraId="404C98E7" w14:textId="77777777" w:rsidR="00704DE4" w:rsidRPr="002B0DCA" w:rsidRDefault="00704DE4" w:rsidP="00265C80">
      <w:pPr>
        <w:pStyle w:val="ListParagraph"/>
        <w:numPr>
          <w:ilvl w:val="2"/>
          <w:numId w:val="3"/>
        </w:numPr>
        <w:spacing w:before="120" w:line="240" w:lineRule="atLeast"/>
        <w:ind w:left="1080" w:right="180"/>
        <w:rPr>
          <w:sz w:val="20"/>
          <w:szCs w:val="20"/>
        </w:rPr>
      </w:pPr>
      <w:r>
        <w:rPr>
          <w:sz w:val="20"/>
          <w:szCs w:val="20"/>
        </w:rPr>
        <w:t>The University can also expect that many people will lose faith in the University’s stated commitment to inclusion and diversity.</w:t>
      </w:r>
    </w:p>
    <w:p w14:paraId="5592B5D3" w14:textId="77777777" w:rsidR="00D608FA" w:rsidRPr="002B0DCA" w:rsidRDefault="00D608FA" w:rsidP="00265C80">
      <w:pPr>
        <w:pStyle w:val="ListParagraph"/>
        <w:numPr>
          <w:ilvl w:val="0"/>
          <w:numId w:val="4"/>
        </w:numPr>
        <w:spacing w:before="120" w:line="240" w:lineRule="atLeast"/>
        <w:ind w:left="360" w:right="180"/>
        <w:rPr>
          <w:sz w:val="20"/>
          <w:szCs w:val="20"/>
        </w:rPr>
      </w:pPr>
      <w:r w:rsidRPr="002B0DCA">
        <w:rPr>
          <w:sz w:val="20"/>
          <w:szCs w:val="20"/>
        </w:rPr>
        <w:t xml:space="preserve">If proposing a policy </w:t>
      </w:r>
      <w:r w:rsidRPr="002B0DCA">
        <w:rPr>
          <w:sz w:val="20"/>
          <w:szCs w:val="20"/>
          <w:u w:val="single"/>
        </w:rPr>
        <w:t>revision</w:t>
      </w:r>
      <w:r w:rsidRPr="002B0DCA">
        <w:rPr>
          <w:sz w:val="20"/>
          <w:szCs w:val="20"/>
        </w:rPr>
        <w:t xml:space="preserve">, </w:t>
      </w:r>
      <w:r w:rsidRPr="002B0DCA">
        <w:rPr>
          <w:noProof/>
          <w:sz w:val="20"/>
          <w:szCs w:val="20"/>
        </w:rPr>
        <w:t>clearly</w:t>
      </w:r>
      <w:r w:rsidRPr="002B0DCA">
        <w:rPr>
          <w:sz w:val="20"/>
          <w:szCs w:val="20"/>
        </w:rPr>
        <w:t xml:space="preserve"> reference</w:t>
      </w:r>
      <w:r w:rsidR="00AD6648" w:rsidRPr="002B0DCA">
        <w:rPr>
          <w:sz w:val="20"/>
          <w:szCs w:val="20"/>
        </w:rPr>
        <w:t xml:space="preserve"> in </w:t>
      </w:r>
      <w:r w:rsidR="00AD6648" w:rsidRPr="002B0DCA">
        <w:rPr>
          <w:noProof/>
          <w:sz w:val="20"/>
          <w:szCs w:val="20"/>
        </w:rPr>
        <w:t>the space</w:t>
      </w:r>
      <w:r w:rsidR="00AD6648" w:rsidRPr="002B0DCA">
        <w:rPr>
          <w:sz w:val="20"/>
          <w:szCs w:val="20"/>
        </w:rPr>
        <w:t xml:space="preserve"> below</w:t>
      </w:r>
      <w:r w:rsidRPr="002B0DCA">
        <w:rPr>
          <w:sz w:val="20"/>
          <w:szCs w:val="20"/>
        </w:rPr>
        <w:t xml:space="preserve"> the </w:t>
      </w:r>
      <w:r w:rsidRPr="002B0DCA">
        <w:rPr>
          <w:noProof/>
          <w:sz w:val="20"/>
          <w:szCs w:val="20"/>
        </w:rPr>
        <w:t>current</w:t>
      </w:r>
      <w:r w:rsidRPr="002B0DCA">
        <w:rPr>
          <w:sz w:val="20"/>
          <w:szCs w:val="20"/>
        </w:rPr>
        <w:t xml:space="preserve"> affected policy, the revision(s) requested, and the rationale for the change.</w:t>
      </w:r>
      <w:r w:rsidR="00200D51" w:rsidRPr="002B0DCA">
        <w:rPr>
          <w:sz w:val="20"/>
          <w:szCs w:val="20"/>
        </w:rPr>
        <w:t xml:space="preserve">  Use additional pages as necessary.</w:t>
      </w:r>
    </w:p>
    <w:p w14:paraId="78564CAB" w14:textId="77777777" w:rsidR="003D44C1" w:rsidRPr="002B0DCA" w:rsidRDefault="00D975DD" w:rsidP="00265C80">
      <w:pPr>
        <w:pStyle w:val="Default"/>
        <w:numPr>
          <w:ilvl w:val="0"/>
          <w:numId w:val="5"/>
        </w:numPr>
        <w:spacing w:before="240" w:after="240"/>
        <w:ind w:left="990" w:hanging="270"/>
        <w:rPr>
          <w:bCs/>
          <w:sz w:val="20"/>
          <w:szCs w:val="20"/>
        </w:rPr>
      </w:pPr>
      <w:r w:rsidRPr="002B0DCA">
        <w:rPr>
          <w:bCs/>
          <w:sz w:val="20"/>
          <w:szCs w:val="20"/>
        </w:rPr>
        <w:t>NA</w:t>
      </w:r>
    </w:p>
    <w:p w14:paraId="21C84757" w14:textId="77777777" w:rsidR="003D44C1" w:rsidRPr="002B0DCA" w:rsidRDefault="003D44C1" w:rsidP="0032465C">
      <w:pPr>
        <w:spacing w:after="160" w:line="259" w:lineRule="auto"/>
        <w:rPr>
          <w:b/>
          <w:bCs/>
          <w:color w:val="000000"/>
          <w:sz w:val="20"/>
          <w:szCs w:val="20"/>
        </w:rPr>
      </w:pPr>
      <w:r w:rsidRPr="002B0DCA">
        <w:rPr>
          <w:b/>
          <w:bCs/>
          <w:sz w:val="20"/>
          <w:szCs w:val="20"/>
        </w:rPr>
        <w:br w:type="page"/>
      </w:r>
    </w:p>
    <w:p w14:paraId="1B659AF7" w14:textId="77777777" w:rsidR="00BB7527" w:rsidRPr="00265C80" w:rsidRDefault="00DC756B" w:rsidP="00265C80">
      <w:pPr>
        <w:pStyle w:val="Heading1"/>
        <w:jc w:val="center"/>
      </w:pPr>
      <w:r>
        <w:lastRenderedPageBreak/>
        <w:t xml:space="preserve">Information and </w:t>
      </w:r>
      <w:r w:rsidR="00746ABE">
        <w:t>C</w:t>
      </w:r>
      <w:r>
        <w:t>ommunication</w:t>
      </w:r>
      <w:r w:rsidR="00F522DA" w:rsidRPr="004723FE">
        <w:t xml:space="preserve"> Technology Accessibility</w:t>
      </w:r>
      <w:r w:rsidR="00BE4839">
        <w:t xml:space="preserve"> Policy</w:t>
      </w:r>
    </w:p>
    <w:p w14:paraId="23F6BEB6" w14:textId="77777777" w:rsidR="00BB7527" w:rsidRPr="00BB7527" w:rsidRDefault="00CD2855" w:rsidP="00265C80">
      <w:pPr>
        <w:pStyle w:val="Heading1"/>
        <w:numPr>
          <w:ilvl w:val="0"/>
          <w:numId w:val="1"/>
        </w:numPr>
        <w:spacing w:before="360"/>
        <w:ind w:right="187"/>
      </w:pPr>
      <w:bookmarkStart w:id="1" w:name="_Toc346812106"/>
      <w:r>
        <w:t xml:space="preserve">General </w:t>
      </w:r>
      <w:r w:rsidR="00E0002A" w:rsidRPr="00965570">
        <w:t>Policy Statement</w:t>
      </w:r>
      <w:bookmarkEnd w:id="1"/>
    </w:p>
    <w:p w14:paraId="4BFF22CF" w14:textId="28B8090A" w:rsidR="00BB7527" w:rsidRPr="00784816" w:rsidRDefault="00F522DA" w:rsidP="0046278A">
      <w:pPr>
        <w:spacing w:before="200" w:after="200"/>
        <w:ind w:right="187"/>
        <w:jc w:val="both"/>
      </w:pPr>
      <w:r w:rsidRPr="004723FE">
        <w:t xml:space="preserve">This policy is to </w:t>
      </w:r>
      <w:r w:rsidR="007E5B1C">
        <w:t>en</w:t>
      </w:r>
      <w:r w:rsidRPr="004723FE">
        <w:t xml:space="preserve">sure that </w:t>
      </w:r>
      <w:r w:rsidR="0010679F">
        <w:t xml:space="preserve">members of the Syracuse University community and their guests </w:t>
      </w:r>
      <w:r w:rsidR="007E5B1C">
        <w:t xml:space="preserve">can effectively access University </w:t>
      </w:r>
      <w:r w:rsidR="00010830">
        <w:t xml:space="preserve">content </w:t>
      </w:r>
      <w:r w:rsidR="00704DE4">
        <w:t xml:space="preserve">and </w:t>
      </w:r>
      <w:r w:rsidR="00DC756B">
        <w:t>information and communication</w:t>
      </w:r>
      <w:r w:rsidR="007E5B1C">
        <w:t xml:space="preserve"> technologies.</w:t>
      </w:r>
      <w:r w:rsidR="00264024" w:rsidRPr="00264024">
        <w:t xml:space="preserve"> </w:t>
      </w:r>
      <w:r w:rsidRPr="004723FE">
        <w:t xml:space="preserve"> </w:t>
      </w:r>
      <w:r w:rsidR="00264024" w:rsidRPr="00290EC2">
        <w:rPr>
          <w:noProof/>
        </w:rPr>
        <w:t>T</w:t>
      </w:r>
      <w:r w:rsidRPr="00290EC2">
        <w:rPr>
          <w:noProof/>
        </w:rPr>
        <w:t>h</w:t>
      </w:r>
      <w:r w:rsidR="00264024" w:rsidRPr="00290EC2">
        <w:rPr>
          <w:noProof/>
        </w:rPr>
        <w:t>is</w:t>
      </w:r>
      <w:r w:rsidRPr="00290EC2">
        <w:rPr>
          <w:noProof/>
        </w:rPr>
        <w:t xml:space="preserve"> policy covers</w:t>
      </w:r>
      <w:r w:rsidR="00290EC2" w:rsidRPr="00290EC2">
        <w:rPr>
          <w:noProof/>
        </w:rPr>
        <w:t xml:space="preserve"> </w:t>
      </w:r>
      <w:r w:rsidR="00DB060E" w:rsidRPr="00290EC2">
        <w:rPr>
          <w:noProof/>
        </w:rPr>
        <w:t>all</w:t>
      </w:r>
      <w:r w:rsidR="00290EC2" w:rsidRPr="00290EC2">
        <w:rPr>
          <w:noProof/>
        </w:rPr>
        <w:t xml:space="preserve"> </w:t>
      </w:r>
      <w:r w:rsidR="00010830" w:rsidRPr="00290EC2">
        <w:rPr>
          <w:noProof/>
        </w:rPr>
        <w:t xml:space="preserve">content and </w:t>
      </w:r>
      <w:r w:rsidR="00DB060E" w:rsidRPr="00290EC2">
        <w:rPr>
          <w:noProof/>
        </w:rPr>
        <w:t>technology</w:t>
      </w:r>
      <w:r w:rsidR="00290EC2" w:rsidRPr="00290EC2">
        <w:rPr>
          <w:noProof/>
        </w:rPr>
        <w:t>, including</w:t>
      </w:r>
      <w:r w:rsidR="00E71048" w:rsidRPr="00290EC2">
        <w:rPr>
          <w:noProof/>
        </w:rPr>
        <w:t xml:space="preserve"> </w:t>
      </w:r>
      <w:r w:rsidR="00DB060E" w:rsidRPr="00290EC2">
        <w:rPr>
          <w:noProof/>
        </w:rPr>
        <w:t>websites</w:t>
      </w:r>
      <w:r w:rsidR="008D3258">
        <w:rPr>
          <w:noProof/>
        </w:rPr>
        <w:t>,</w:t>
      </w:r>
      <w:r w:rsidR="00DB060E" w:rsidRPr="00290EC2">
        <w:rPr>
          <w:noProof/>
        </w:rPr>
        <w:t xml:space="preserve"> </w:t>
      </w:r>
      <w:r w:rsidR="00F005F6" w:rsidRPr="00290EC2">
        <w:rPr>
          <w:noProof/>
        </w:rPr>
        <w:t xml:space="preserve">web-based </w:t>
      </w:r>
      <w:r w:rsidR="00290EC2" w:rsidRPr="00290EC2">
        <w:rPr>
          <w:noProof/>
        </w:rPr>
        <w:t>and</w:t>
      </w:r>
      <w:r w:rsidR="005824A1" w:rsidRPr="00290EC2">
        <w:rPr>
          <w:noProof/>
        </w:rPr>
        <w:t xml:space="preserve"> mobile </w:t>
      </w:r>
      <w:r w:rsidR="00F005F6" w:rsidRPr="00290EC2">
        <w:rPr>
          <w:noProof/>
        </w:rPr>
        <w:t>applications</w:t>
      </w:r>
      <w:r w:rsidR="008D3258">
        <w:rPr>
          <w:noProof/>
        </w:rPr>
        <w:t>,</w:t>
      </w:r>
      <w:r w:rsidR="00704DE4">
        <w:rPr>
          <w:noProof/>
        </w:rPr>
        <w:t xml:space="preserve"> email, webconferencing, video conferencing,</w:t>
      </w:r>
      <w:r w:rsidR="007B0D7D">
        <w:rPr>
          <w:noProof/>
        </w:rPr>
        <w:t xml:space="preserve"> </w:t>
      </w:r>
      <w:r w:rsidR="00704DE4">
        <w:rPr>
          <w:noProof/>
        </w:rPr>
        <w:t>video streaming,</w:t>
      </w:r>
      <w:r w:rsidR="00F005F6" w:rsidRPr="00290EC2">
        <w:rPr>
          <w:noProof/>
        </w:rPr>
        <w:t xml:space="preserve"> instructional materials</w:t>
      </w:r>
      <w:r w:rsidR="008D3258">
        <w:rPr>
          <w:noProof/>
        </w:rPr>
        <w:t>,</w:t>
      </w:r>
      <w:r w:rsidR="00F005F6" w:rsidRPr="00290EC2">
        <w:rPr>
          <w:noProof/>
        </w:rPr>
        <w:t xml:space="preserve"> </w:t>
      </w:r>
      <w:r w:rsidR="007F3D4B">
        <w:rPr>
          <w:noProof/>
        </w:rPr>
        <w:t xml:space="preserve">electronic </w:t>
      </w:r>
      <w:r w:rsidR="00010830" w:rsidRPr="00290EC2">
        <w:rPr>
          <w:noProof/>
        </w:rPr>
        <w:t>documents</w:t>
      </w:r>
      <w:r w:rsidR="008D3258">
        <w:rPr>
          <w:noProof/>
        </w:rPr>
        <w:t>,</w:t>
      </w:r>
      <w:r w:rsidR="00010830" w:rsidRPr="00290EC2">
        <w:rPr>
          <w:noProof/>
        </w:rPr>
        <w:t xml:space="preserve"> </w:t>
      </w:r>
      <w:r w:rsidR="00133840">
        <w:rPr>
          <w:noProof/>
        </w:rPr>
        <w:t xml:space="preserve">blended and </w:t>
      </w:r>
      <w:r w:rsidR="00DB060E" w:rsidRPr="00290EC2">
        <w:rPr>
          <w:noProof/>
        </w:rPr>
        <w:t>online courses</w:t>
      </w:r>
      <w:r w:rsidR="008D3258">
        <w:rPr>
          <w:noProof/>
        </w:rPr>
        <w:t>,</w:t>
      </w:r>
      <w:r w:rsidR="00DB060E" w:rsidRPr="00290EC2">
        <w:rPr>
          <w:noProof/>
        </w:rPr>
        <w:t xml:space="preserve"> and </w:t>
      </w:r>
      <w:r w:rsidR="00290EC2" w:rsidRPr="00290EC2">
        <w:rPr>
          <w:noProof/>
        </w:rPr>
        <w:t xml:space="preserve">all </w:t>
      </w:r>
      <w:r w:rsidR="00395E2F">
        <w:rPr>
          <w:noProof/>
        </w:rPr>
        <w:t>academic and administrative software applications</w:t>
      </w:r>
      <w:r w:rsidR="0028034D">
        <w:rPr>
          <w:noProof/>
        </w:rPr>
        <w:t xml:space="preserve"> acquired or adopted after the effective date of this policy</w:t>
      </w:r>
      <w:r w:rsidR="00395E2F">
        <w:rPr>
          <w:noProof/>
        </w:rPr>
        <w:t xml:space="preserve">. </w:t>
      </w:r>
      <w:r w:rsidR="008D3258">
        <w:rPr>
          <w:noProof/>
        </w:rPr>
        <w:t>Th</w:t>
      </w:r>
      <w:r w:rsidR="0028034D">
        <w:rPr>
          <w:noProof/>
        </w:rPr>
        <w:t>e</w:t>
      </w:r>
      <w:r w:rsidR="008D3258">
        <w:rPr>
          <w:noProof/>
        </w:rPr>
        <w:t xml:space="preserve"> policy also provides a method to ensure that communication at University</w:t>
      </w:r>
      <w:r w:rsidR="00755DAC">
        <w:rPr>
          <w:noProof/>
        </w:rPr>
        <w:t>-wide</w:t>
      </w:r>
      <w:r w:rsidR="008D3258">
        <w:rPr>
          <w:noProof/>
        </w:rPr>
        <w:t xml:space="preserve"> events is accessible and enables full participation. </w:t>
      </w:r>
      <w:r w:rsidR="00755DAC">
        <w:rPr>
          <w:noProof/>
        </w:rPr>
        <w:t xml:space="preserve">It is the University’s aim to make </w:t>
      </w:r>
      <w:r w:rsidR="00010830">
        <w:rPr>
          <w:noProof/>
        </w:rPr>
        <w:t xml:space="preserve">content and </w:t>
      </w:r>
      <w:r w:rsidR="00290EC2">
        <w:rPr>
          <w:noProof/>
        </w:rPr>
        <w:t xml:space="preserve">technology </w:t>
      </w:r>
      <w:r w:rsidR="00290EC2" w:rsidRPr="00290EC2">
        <w:rPr>
          <w:noProof/>
        </w:rPr>
        <w:t>accessible to</w:t>
      </w:r>
      <w:r w:rsidR="0046278A">
        <w:rPr>
          <w:noProof/>
        </w:rPr>
        <w:t xml:space="preserve"> current</w:t>
      </w:r>
      <w:r w:rsidR="00DB060E" w:rsidRPr="00290EC2">
        <w:rPr>
          <w:noProof/>
        </w:rPr>
        <w:t xml:space="preserve"> </w:t>
      </w:r>
      <w:r w:rsidR="00290EC2" w:rsidRPr="00290EC2">
        <w:rPr>
          <w:noProof/>
        </w:rPr>
        <w:t>and</w:t>
      </w:r>
      <w:r w:rsidR="00F005F6" w:rsidRPr="00290EC2">
        <w:rPr>
          <w:noProof/>
        </w:rPr>
        <w:t xml:space="preserve"> prospective students,</w:t>
      </w:r>
      <w:r w:rsidR="00553132" w:rsidRPr="00290EC2">
        <w:rPr>
          <w:noProof/>
        </w:rPr>
        <w:t xml:space="preserve"> </w:t>
      </w:r>
      <w:r w:rsidR="00290EC2" w:rsidRPr="00290EC2">
        <w:rPr>
          <w:noProof/>
        </w:rPr>
        <w:t xml:space="preserve">faculty, </w:t>
      </w:r>
      <w:r w:rsidR="00553132" w:rsidRPr="00290EC2">
        <w:rPr>
          <w:noProof/>
        </w:rPr>
        <w:t xml:space="preserve">staff, </w:t>
      </w:r>
      <w:r w:rsidR="00E71048" w:rsidRPr="00290EC2">
        <w:rPr>
          <w:noProof/>
        </w:rPr>
        <w:t>alumni</w:t>
      </w:r>
      <w:r w:rsidR="00290EC2" w:rsidRPr="00290EC2">
        <w:rPr>
          <w:noProof/>
        </w:rPr>
        <w:t>,</w:t>
      </w:r>
      <w:r w:rsidR="00E71048" w:rsidRPr="00290EC2">
        <w:rPr>
          <w:noProof/>
        </w:rPr>
        <w:t xml:space="preserve"> visitors, </w:t>
      </w:r>
      <w:r w:rsidR="00290EC2" w:rsidRPr="00290EC2">
        <w:rPr>
          <w:noProof/>
        </w:rPr>
        <w:t>and</w:t>
      </w:r>
      <w:r w:rsidR="00F005F6" w:rsidRPr="00290EC2">
        <w:rPr>
          <w:noProof/>
        </w:rPr>
        <w:t xml:space="preserve"> the general public.</w:t>
      </w:r>
    </w:p>
    <w:p w14:paraId="15E73F1C" w14:textId="77777777" w:rsidR="00E0002A" w:rsidRDefault="00E0002A" w:rsidP="00F522DA">
      <w:pPr>
        <w:pStyle w:val="Heading1"/>
        <w:numPr>
          <w:ilvl w:val="0"/>
          <w:numId w:val="1"/>
        </w:numPr>
        <w:ind w:right="180"/>
      </w:pPr>
      <w:bookmarkStart w:id="2" w:name="_Toc346812107"/>
      <w:r>
        <w:t xml:space="preserve">Reason </w:t>
      </w:r>
      <w:r w:rsidR="008967B1">
        <w:t>for</w:t>
      </w:r>
      <w:r>
        <w:t xml:space="preserve"> Policy/Purpose</w:t>
      </w:r>
      <w:bookmarkEnd w:id="2"/>
    </w:p>
    <w:p w14:paraId="636CDBD4" w14:textId="77777777" w:rsidR="0046278A" w:rsidRPr="008A1A39" w:rsidRDefault="00DC756B" w:rsidP="0090548D">
      <w:pPr>
        <w:spacing w:before="200" w:after="200"/>
        <w:jc w:val="both"/>
        <w:rPr>
          <w:rFonts w:eastAsia="Calibri"/>
        </w:rPr>
      </w:pPr>
      <w:bookmarkStart w:id="3" w:name="_Toc393819026"/>
      <w:r w:rsidRPr="008A1A39">
        <w:rPr>
          <w:rFonts w:eastAsia="Calibri"/>
        </w:rPr>
        <w:t xml:space="preserve">Information and </w:t>
      </w:r>
      <w:r w:rsidR="001050B2" w:rsidRPr="008A1A39">
        <w:rPr>
          <w:rFonts w:eastAsia="Calibri"/>
        </w:rPr>
        <w:t>Communication T</w:t>
      </w:r>
      <w:r w:rsidR="001050B2" w:rsidRPr="00B82FC4">
        <w:rPr>
          <w:rFonts w:eastAsia="Calibri"/>
        </w:rPr>
        <w:t xml:space="preserve">echnology </w:t>
      </w:r>
      <w:r w:rsidR="00A968F1" w:rsidRPr="00B82FC4">
        <w:rPr>
          <w:rFonts w:eastAsia="Calibri"/>
        </w:rPr>
        <w:t xml:space="preserve">(defined below in Section V.B.) </w:t>
      </w:r>
      <w:r w:rsidR="00176F41" w:rsidRPr="00B82FC4">
        <w:rPr>
          <w:rFonts w:eastAsia="Calibri"/>
        </w:rPr>
        <w:t>--</w:t>
      </w:r>
      <w:r w:rsidR="00972845" w:rsidRPr="00B82FC4">
        <w:rPr>
          <w:rFonts w:eastAsia="Calibri"/>
        </w:rPr>
        <w:t xml:space="preserve"> </w:t>
      </w:r>
      <w:r w:rsidR="00176F41" w:rsidRPr="00B82FC4">
        <w:rPr>
          <w:rFonts w:eastAsia="Calibri"/>
        </w:rPr>
        <w:t xml:space="preserve">especially the </w:t>
      </w:r>
      <w:r w:rsidR="00290EC2" w:rsidRPr="00B82FC4">
        <w:rPr>
          <w:rFonts w:eastAsia="Calibri"/>
          <w:noProof/>
        </w:rPr>
        <w:t>Internet</w:t>
      </w:r>
      <w:r w:rsidR="007B0D7D" w:rsidRPr="00B82FC4">
        <w:rPr>
          <w:rFonts w:eastAsia="Calibri"/>
          <w:noProof/>
        </w:rPr>
        <w:t xml:space="preserve"> </w:t>
      </w:r>
      <w:r w:rsidR="00176F41" w:rsidRPr="00B82FC4">
        <w:rPr>
          <w:rFonts w:eastAsia="Calibri"/>
        </w:rPr>
        <w:t>--</w:t>
      </w:r>
      <w:r w:rsidR="007B0D7D" w:rsidRPr="00B82FC4">
        <w:rPr>
          <w:rFonts w:eastAsia="Calibri"/>
        </w:rPr>
        <w:t xml:space="preserve"> </w:t>
      </w:r>
      <w:r w:rsidR="00176F41" w:rsidRPr="00B82FC4">
        <w:rPr>
          <w:rFonts w:eastAsia="Calibri"/>
        </w:rPr>
        <w:t xml:space="preserve">is essential </w:t>
      </w:r>
      <w:r w:rsidR="00300A50" w:rsidRPr="00B82FC4">
        <w:rPr>
          <w:rFonts w:eastAsia="Calibri"/>
        </w:rPr>
        <w:t xml:space="preserve">to the educational mission of the University, including in </w:t>
      </w:r>
      <w:r w:rsidR="00176F41" w:rsidRPr="00B82FC4">
        <w:rPr>
          <w:rFonts w:eastAsia="Calibri"/>
        </w:rPr>
        <w:t xml:space="preserve">teaching and </w:t>
      </w:r>
      <w:r w:rsidR="00176F41" w:rsidRPr="00B82FC4">
        <w:rPr>
          <w:rFonts w:eastAsia="Calibri"/>
          <w:noProof/>
        </w:rPr>
        <w:t>learning,</w:t>
      </w:r>
      <w:r w:rsidR="00176F41" w:rsidRPr="00B82FC4">
        <w:rPr>
          <w:rFonts w:eastAsia="Calibri"/>
        </w:rPr>
        <w:t xml:space="preserve"> research, </w:t>
      </w:r>
      <w:r w:rsidR="00300A50" w:rsidRPr="00B82FC4">
        <w:rPr>
          <w:rFonts w:eastAsia="Calibri"/>
        </w:rPr>
        <w:t xml:space="preserve">and </w:t>
      </w:r>
      <w:r w:rsidR="00176F41" w:rsidRPr="00B82FC4">
        <w:rPr>
          <w:rFonts w:eastAsia="Calibri"/>
        </w:rPr>
        <w:t>critical administrative and employment functions.</w:t>
      </w:r>
      <w:r w:rsidR="001050B2" w:rsidRPr="00B82FC4">
        <w:rPr>
          <w:rFonts w:eastAsia="Calibri"/>
        </w:rPr>
        <w:t xml:space="preserve">  </w:t>
      </w:r>
      <w:r w:rsidR="00F522DA" w:rsidRPr="00B82FC4">
        <w:rPr>
          <w:rFonts w:eastAsia="Calibri"/>
        </w:rPr>
        <w:t>Syracuse University values diversity</w:t>
      </w:r>
      <w:r w:rsidR="00A968F1" w:rsidRPr="00B82FC4">
        <w:rPr>
          <w:rFonts w:eastAsia="Calibri"/>
        </w:rPr>
        <w:t>, and</w:t>
      </w:r>
      <w:r w:rsidR="007B0D7D" w:rsidRPr="00B82FC4">
        <w:rPr>
          <w:rFonts w:eastAsia="Calibri"/>
        </w:rPr>
        <w:t xml:space="preserve"> </w:t>
      </w:r>
      <w:r w:rsidR="007E5B1C" w:rsidRPr="00B82FC4">
        <w:rPr>
          <w:rFonts w:eastAsia="Calibri"/>
        </w:rPr>
        <w:t>accessible</w:t>
      </w:r>
      <w:r w:rsidR="0046278A" w:rsidRPr="00B82FC4">
        <w:rPr>
          <w:rFonts w:eastAsia="Calibri"/>
        </w:rPr>
        <w:t xml:space="preserve"> </w:t>
      </w:r>
      <w:r w:rsidR="001050B2" w:rsidRPr="00B82FC4">
        <w:rPr>
          <w:rFonts w:eastAsia="Calibri"/>
        </w:rPr>
        <w:t xml:space="preserve">Information and Communication Technology </w:t>
      </w:r>
      <w:r w:rsidR="007E5B1C" w:rsidRPr="00B82FC4">
        <w:rPr>
          <w:rFonts w:eastAsia="Calibri"/>
        </w:rPr>
        <w:t xml:space="preserve">is an important component of an inclusive </w:t>
      </w:r>
      <w:r w:rsidR="00300A50" w:rsidRPr="00B82FC4">
        <w:rPr>
          <w:rFonts w:eastAsia="Calibri"/>
        </w:rPr>
        <w:t>University</w:t>
      </w:r>
      <w:r w:rsidR="00FB7CE6" w:rsidRPr="00B82FC4">
        <w:rPr>
          <w:rFonts w:eastAsia="Calibri"/>
        </w:rPr>
        <w:t>. T</w:t>
      </w:r>
      <w:r w:rsidR="00176F41" w:rsidRPr="00B82FC4">
        <w:rPr>
          <w:rFonts w:eastAsia="Calibri"/>
        </w:rPr>
        <w:t>his policy serve</w:t>
      </w:r>
      <w:r w:rsidR="007E5B1C" w:rsidRPr="00B82FC4">
        <w:rPr>
          <w:rFonts w:eastAsia="Calibri"/>
        </w:rPr>
        <w:t>s</w:t>
      </w:r>
      <w:r w:rsidR="00176F41" w:rsidRPr="00B82FC4">
        <w:rPr>
          <w:rFonts w:eastAsia="Calibri"/>
        </w:rPr>
        <w:t xml:space="preserve"> </w:t>
      </w:r>
      <w:r w:rsidR="00F522DA" w:rsidRPr="00B82FC4">
        <w:rPr>
          <w:rFonts w:eastAsia="Calibri"/>
        </w:rPr>
        <w:t xml:space="preserve">to </w:t>
      </w:r>
      <w:r w:rsidR="002475B5" w:rsidRPr="00B82FC4">
        <w:rPr>
          <w:rFonts w:eastAsia="Calibri"/>
        </w:rPr>
        <w:t xml:space="preserve">integrate accessibility into all levels of </w:t>
      </w:r>
      <w:r w:rsidR="001050B2" w:rsidRPr="00B82FC4">
        <w:rPr>
          <w:rFonts w:eastAsia="Calibri"/>
        </w:rPr>
        <w:t xml:space="preserve">Information and Communication Technology </w:t>
      </w:r>
      <w:r w:rsidR="00FB7CE6" w:rsidRPr="00B82FC4">
        <w:rPr>
          <w:rFonts w:eastAsia="Calibri"/>
        </w:rPr>
        <w:t>at the University</w:t>
      </w:r>
      <w:r w:rsidR="002475B5" w:rsidRPr="00B82FC4">
        <w:rPr>
          <w:rFonts w:eastAsia="Calibri"/>
        </w:rPr>
        <w:t xml:space="preserve">, </w:t>
      </w:r>
      <w:r w:rsidR="00FB7CE6" w:rsidRPr="00B82FC4">
        <w:rPr>
          <w:rFonts w:eastAsia="Calibri"/>
        </w:rPr>
        <w:t xml:space="preserve">thus </w:t>
      </w:r>
      <w:r w:rsidR="00940577">
        <w:t>enabl</w:t>
      </w:r>
      <w:r w:rsidR="00FB7CE6">
        <w:t>ing</w:t>
      </w:r>
      <w:r w:rsidR="00940577">
        <w:t xml:space="preserve"> full participation </w:t>
      </w:r>
      <w:r w:rsidR="00FB7CE6">
        <w:t xml:space="preserve">by </w:t>
      </w:r>
      <w:r w:rsidR="00F24B85" w:rsidRPr="00A57079">
        <w:t>all</w:t>
      </w:r>
      <w:r w:rsidR="00FB7CE6">
        <w:t>.</w:t>
      </w:r>
    </w:p>
    <w:bookmarkEnd w:id="3"/>
    <w:p w14:paraId="623A38DE" w14:textId="77777777" w:rsidR="00CD2855" w:rsidRPr="00CF7E73" w:rsidRDefault="00CD2855" w:rsidP="00C928BB">
      <w:pPr>
        <w:pStyle w:val="Heading1"/>
        <w:numPr>
          <w:ilvl w:val="0"/>
          <w:numId w:val="1"/>
        </w:numPr>
        <w:pBdr>
          <w:bottom w:val="single" w:sz="8" w:space="31" w:color="auto"/>
        </w:pBdr>
        <w:ind w:right="180"/>
      </w:pPr>
      <w:r>
        <w:t>Policy</w:t>
      </w:r>
    </w:p>
    <w:p w14:paraId="6EA48938" w14:textId="77777777" w:rsidR="000B5B4E" w:rsidRPr="00FC07CB" w:rsidRDefault="000B5B4E" w:rsidP="00FC07CB">
      <w:pPr>
        <w:pStyle w:val="ListParagraph"/>
        <w:numPr>
          <w:ilvl w:val="0"/>
          <w:numId w:val="18"/>
        </w:numPr>
        <w:spacing w:before="200"/>
        <w:rPr>
          <w:b/>
        </w:rPr>
      </w:pPr>
      <w:r w:rsidRPr="00FC07CB">
        <w:rPr>
          <w:b/>
        </w:rPr>
        <w:t xml:space="preserve">Accessibility of Information and Communication Technology </w:t>
      </w:r>
    </w:p>
    <w:p w14:paraId="39310AC0" w14:textId="09A36E81" w:rsidR="000B5B4E" w:rsidRDefault="00972845" w:rsidP="00FC07CB">
      <w:pPr>
        <w:spacing w:before="200" w:after="200"/>
        <w:ind w:left="720"/>
        <w:jc w:val="both"/>
      </w:pPr>
      <w:r>
        <w:t xml:space="preserve">In its commitment to diversity and inclusion, </w:t>
      </w:r>
      <w:r w:rsidR="003042C5">
        <w:t>Syracuse University</w:t>
      </w:r>
      <w:r w:rsidR="00293DA3">
        <w:t xml:space="preserve"> </w:t>
      </w:r>
      <w:r>
        <w:t xml:space="preserve">will </w:t>
      </w:r>
      <w:r w:rsidR="00293DA3">
        <w:t xml:space="preserve">seek to </w:t>
      </w:r>
      <w:r w:rsidR="006E6BF9">
        <w:t>en</w:t>
      </w:r>
      <w:r>
        <w:t xml:space="preserve">sure that </w:t>
      </w:r>
      <w:r w:rsidR="00293DA3">
        <w:t xml:space="preserve">individuals with disabilities </w:t>
      </w:r>
      <w:r>
        <w:t xml:space="preserve">are afforded </w:t>
      </w:r>
      <w:r w:rsidR="00293DA3">
        <w:t>equal access</w:t>
      </w:r>
      <w:r>
        <w:t xml:space="preserve"> to</w:t>
      </w:r>
      <w:r w:rsidR="00293DA3">
        <w:t xml:space="preserve"> Information and Communication Technology used by the University and its constituents.  As such,</w:t>
      </w:r>
      <w:r w:rsidR="000B5B4E">
        <w:t xml:space="preserve"> and except as set forth below in Section III.</w:t>
      </w:r>
      <w:r w:rsidR="0046278A">
        <w:t>B</w:t>
      </w:r>
      <w:r w:rsidR="000B5B4E">
        <w:t>.,</w:t>
      </w:r>
      <w:r w:rsidR="00293DA3">
        <w:t xml:space="preserve"> the University</w:t>
      </w:r>
      <w:r w:rsidR="003042C5">
        <w:t xml:space="preserve"> commits that </w:t>
      </w:r>
      <w:r w:rsidR="00293DA3">
        <w:t xml:space="preserve">Information </w:t>
      </w:r>
      <w:r w:rsidR="003042C5">
        <w:t xml:space="preserve">and </w:t>
      </w:r>
      <w:r w:rsidR="00293DA3">
        <w:t>Communication Technology</w:t>
      </w:r>
      <w:r w:rsidR="00293DA3" w:rsidRPr="00221396">
        <w:t xml:space="preserve"> </w:t>
      </w:r>
      <w:r w:rsidR="00F522DA" w:rsidRPr="00221396">
        <w:t xml:space="preserve">products </w:t>
      </w:r>
      <w:r w:rsidR="007B0D7D">
        <w:t>and services</w:t>
      </w:r>
      <w:r w:rsidR="00176CD1">
        <w:t xml:space="preserve"> acquired, adopted, developed</w:t>
      </w:r>
      <w:r w:rsidR="00E27FA2">
        <w:t xml:space="preserve"> or </w:t>
      </w:r>
      <w:r w:rsidR="006E6BF9">
        <w:t>updated</w:t>
      </w:r>
      <w:r w:rsidR="00176CD1">
        <w:t xml:space="preserve"> after the effective date of this policy,</w:t>
      </w:r>
      <w:r w:rsidR="007B0D7D">
        <w:t xml:space="preserve"> </w:t>
      </w:r>
      <w:r w:rsidR="00B31BE1">
        <w:t xml:space="preserve">shall </w:t>
      </w:r>
      <w:r w:rsidR="00C71F56" w:rsidRPr="00221396">
        <w:t xml:space="preserve">be </w:t>
      </w:r>
      <w:r>
        <w:t>a</w:t>
      </w:r>
      <w:r w:rsidR="006207AB" w:rsidRPr="00221396">
        <w:t>ccessible</w:t>
      </w:r>
      <w:r w:rsidR="006207AB">
        <w:t xml:space="preserve"> to individuals with disabilities</w:t>
      </w:r>
      <w:r w:rsidR="00C71F56" w:rsidRPr="00221396">
        <w:t>.</w:t>
      </w:r>
      <w:r w:rsidR="003C12D0">
        <w:t xml:space="preserve">  </w:t>
      </w:r>
      <w:r w:rsidR="008A7878">
        <w:t xml:space="preserve"> </w:t>
      </w:r>
      <w:r w:rsidR="00C71F56">
        <w:t xml:space="preserve"> </w:t>
      </w:r>
      <w:r w:rsidR="003D637B">
        <w:t xml:space="preserve"> </w:t>
      </w:r>
    </w:p>
    <w:p w14:paraId="297646B0" w14:textId="77777777" w:rsidR="000B5B4E" w:rsidRPr="006D0BF0" w:rsidRDefault="006D0BF0" w:rsidP="00FC07CB">
      <w:pPr>
        <w:spacing w:before="200" w:after="200"/>
        <w:ind w:left="720"/>
        <w:jc w:val="both"/>
      </w:pPr>
      <w:r w:rsidRPr="006D0BF0">
        <w:t xml:space="preserve">Syracuse University </w:t>
      </w:r>
      <w:r w:rsidR="0030200E">
        <w:t xml:space="preserve">further </w:t>
      </w:r>
      <w:r w:rsidRPr="006D0BF0">
        <w:t xml:space="preserve">commits that </w:t>
      </w:r>
      <w:r w:rsidR="003C12D0">
        <w:t>it will use best efforts to ensure that</w:t>
      </w:r>
      <w:r w:rsidRPr="006D0BF0">
        <w:t xml:space="preserve"> </w:t>
      </w:r>
      <w:r w:rsidR="00A515DF">
        <w:t>University</w:t>
      </w:r>
      <w:r w:rsidR="00B82FC4">
        <w:t>-wide</w:t>
      </w:r>
      <w:r w:rsidR="00A515DF">
        <w:t xml:space="preserve"> </w:t>
      </w:r>
      <w:r w:rsidRPr="006D0BF0">
        <w:t xml:space="preserve">events </w:t>
      </w:r>
      <w:r w:rsidR="003C12D0">
        <w:t>and</w:t>
      </w:r>
      <w:r w:rsidRPr="006D0BF0">
        <w:t xml:space="preserve"> communication </w:t>
      </w:r>
      <w:r w:rsidR="00350287">
        <w:t xml:space="preserve">about and </w:t>
      </w:r>
      <w:r w:rsidRPr="006D0BF0">
        <w:t xml:space="preserve">at </w:t>
      </w:r>
      <w:r w:rsidR="003C12D0">
        <w:t xml:space="preserve">such </w:t>
      </w:r>
      <w:r w:rsidRPr="006D0BF0">
        <w:t xml:space="preserve">events is </w:t>
      </w:r>
      <w:r w:rsidR="00972845">
        <w:t>a</w:t>
      </w:r>
      <w:r w:rsidR="0007541D" w:rsidRPr="006D0BF0">
        <w:t xml:space="preserve">ccessible </w:t>
      </w:r>
      <w:r w:rsidRPr="006D0BF0">
        <w:t xml:space="preserve">and enables full participation. </w:t>
      </w:r>
    </w:p>
    <w:p w14:paraId="398286BC" w14:textId="712CBC8F" w:rsidR="005D06B9" w:rsidRDefault="005D06B9" w:rsidP="00FC07CB">
      <w:pPr>
        <w:spacing w:before="200" w:after="200"/>
        <w:ind w:left="720"/>
        <w:jc w:val="both"/>
      </w:pPr>
      <w:r w:rsidRPr="00A540F8">
        <w:t>As a means of measuring accessibility,</w:t>
      </w:r>
      <w:r w:rsidR="00365A74">
        <w:t xml:space="preserve"> unless excluded below in Section III.B., </w:t>
      </w:r>
      <w:r w:rsidRPr="00A540F8">
        <w:t xml:space="preserve">all </w:t>
      </w:r>
      <w:r w:rsidR="005163A1" w:rsidRPr="00A540F8">
        <w:t xml:space="preserve">Information and Communication Technology </w:t>
      </w:r>
      <w:r w:rsidRPr="00A540F8">
        <w:t xml:space="preserve">at a minimum shall comply with </w:t>
      </w:r>
      <w:r w:rsidR="00C159D8" w:rsidRPr="007D4C92">
        <w:t xml:space="preserve">the </w:t>
      </w:r>
      <w:hyperlink r:id="rId10" w:history="1">
        <w:r w:rsidR="00C159D8" w:rsidRPr="00B45FE6">
          <w:rPr>
            <w:rStyle w:val="Hyperlink"/>
          </w:rPr>
          <w:t xml:space="preserve">University ICT Accessibility </w:t>
        </w:r>
        <w:r w:rsidR="00B8785D">
          <w:rPr>
            <w:rStyle w:val="Hyperlink"/>
          </w:rPr>
          <w:t xml:space="preserve">Policy </w:t>
        </w:r>
        <w:r w:rsidR="00C159D8" w:rsidRPr="00B45FE6">
          <w:rPr>
            <w:rStyle w:val="Hyperlink"/>
          </w:rPr>
          <w:t>Standards.</w:t>
        </w:r>
      </w:hyperlink>
    </w:p>
    <w:p w14:paraId="5F77A7FF" w14:textId="77777777" w:rsidR="00142C6A" w:rsidRDefault="00142C6A">
      <w:pPr>
        <w:spacing w:after="160" w:line="259" w:lineRule="auto"/>
      </w:pPr>
      <w:r>
        <w:br w:type="page"/>
      </w:r>
    </w:p>
    <w:p w14:paraId="0C74C957" w14:textId="77777777" w:rsidR="00AD7496" w:rsidRDefault="00AD7496" w:rsidP="00FC07CB">
      <w:pPr>
        <w:pStyle w:val="ListParagraph"/>
        <w:numPr>
          <w:ilvl w:val="0"/>
          <w:numId w:val="18"/>
        </w:numPr>
        <w:spacing w:before="200"/>
        <w:jc w:val="both"/>
        <w:rPr>
          <w:b/>
        </w:rPr>
      </w:pPr>
      <w:r w:rsidRPr="00133840">
        <w:rPr>
          <w:b/>
        </w:rPr>
        <w:t>Exclusions</w:t>
      </w:r>
    </w:p>
    <w:p w14:paraId="775CD110" w14:textId="77777777" w:rsidR="00AD7496" w:rsidRDefault="00C51F3B" w:rsidP="00FC07CB">
      <w:pPr>
        <w:spacing w:before="200" w:after="200"/>
        <w:ind w:left="720"/>
        <w:jc w:val="both"/>
      </w:pPr>
      <w:r>
        <w:t>Certain Information and Communication Technology may be excluded f</w:t>
      </w:r>
      <w:r w:rsidR="004030EA">
        <w:t>rom the mandates of this policy, including</w:t>
      </w:r>
      <w:r>
        <w:t>:</w:t>
      </w:r>
    </w:p>
    <w:p w14:paraId="3ECD5770" w14:textId="77777777" w:rsidR="00C51F3B" w:rsidRDefault="00C51F3B"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rsidRPr="00F332AA">
        <w:rPr>
          <w:color w:val="000000"/>
        </w:rPr>
        <w:t xml:space="preserve">Individual Web pages published by students, employees, or non-university organizations </w:t>
      </w:r>
      <w:r>
        <w:rPr>
          <w:color w:val="000000"/>
        </w:rPr>
        <w:t>that</w:t>
      </w:r>
      <w:r w:rsidRPr="00F332AA">
        <w:rPr>
          <w:color w:val="000000"/>
        </w:rPr>
        <w:t xml:space="preserve"> do not conduct </w:t>
      </w:r>
      <w:r>
        <w:rPr>
          <w:color w:val="000000"/>
        </w:rPr>
        <w:t>U</w:t>
      </w:r>
      <w:r w:rsidRPr="00F332AA">
        <w:rPr>
          <w:color w:val="000000"/>
        </w:rPr>
        <w:t>niversity</w:t>
      </w:r>
      <w:r>
        <w:rPr>
          <w:color w:val="000000"/>
        </w:rPr>
        <w:t>-</w:t>
      </w:r>
      <w:r w:rsidRPr="00F332AA">
        <w:rPr>
          <w:color w:val="000000"/>
        </w:rPr>
        <w:t>related business</w:t>
      </w:r>
      <w:r w:rsidR="001B6B35">
        <w:rPr>
          <w:color w:val="000000"/>
        </w:rPr>
        <w:t xml:space="preserve">. </w:t>
      </w:r>
      <w:r w:rsidR="00972845">
        <w:rPr>
          <w:color w:val="000000"/>
        </w:rPr>
        <w:t xml:space="preserve">While all parties </w:t>
      </w:r>
      <w:r w:rsidRPr="00F332AA">
        <w:rPr>
          <w:color w:val="000000"/>
        </w:rPr>
        <w:t>are encouraged to adopt the University</w:t>
      </w:r>
      <w:r>
        <w:rPr>
          <w:color w:val="000000"/>
        </w:rPr>
        <w:t>’</w:t>
      </w:r>
      <w:r w:rsidRPr="00F332AA">
        <w:rPr>
          <w:color w:val="000000"/>
        </w:rPr>
        <w:t xml:space="preserve">s </w:t>
      </w:r>
      <w:r w:rsidR="00F24F88">
        <w:rPr>
          <w:color w:val="000000"/>
        </w:rPr>
        <w:t>Information and Communication Technology</w:t>
      </w:r>
      <w:r w:rsidR="006C47A3">
        <w:rPr>
          <w:color w:val="000000"/>
        </w:rPr>
        <w:t xml:space="preserve"> </w:t>
      </w:r>
      <w:r w:rsidRPr="00F332AA">
        <w:rPr>
          <w:color w:val="000000"/>
        </w:rPr>
        <w:t xml:space="preserve">policy and </w:t>
      </w:r>
      <w:r w:rsidRPr="00290EC2">
        <w:rPr>
          <w:noProof/>
          <w:color w:val="000000"/>
        </w:rPr>
        <w:t>standards,</w:t>
      </w:r>
      <w:r w:rsidRPr="00F332AA">
        <w:rPr>
          <w:color w:val="000000"/>
        </w:rPr>
        <w:t xml:space="preserve"> </w:t>
      </w:r>
      <w:r w:rsidR="00030BDA">
        <w:rPr>
          <w:color w:val="000000"/>
        </w:rPr>
        <w:t xml:space="preserve">students, employees, or non-university organizations that do not conduct University-related business </w:t>
      </w:r>
      <w:r w:rsidRPr="00F332AA">
        <w:rPr>
          <w:color w:val="000000"/>
        </w:rPr>
        <w:t>fall outside</w:t>
      </w:r>
      <w:r w:rsidR="00030BDA">
        <w:rPr>
          <w:color w:val="000000"/>
        </w:rPr>
        <w:t xml:space="preserve"> of</w:t>
      </w:r>
      <w:r w:rsidRPr="00F332AA">
        <w:rPr>
          <w:color w:val="000000"/>
        </w:rPr>
        <w:t xml:space="preserve"> the jurisdiction of this policy.</w:t>
      </w:r>
    </w:p>
    <w:p w14:paraId="66A02AA4" w14:textId="64812F94" w:rsidR="00C51F3B" w:rsidRDefault="00C51F3B"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rsidRPr="004E6E49">
        <w:rPr>
          <w:color w:val="000000"/>
        </w:rPr>
        <w:t xml:space="preserve">Archived web pages </w:t>
      </w:r>
      <w:r>
        <w:rPr>
          <w:color w:val="000000"/>
        </w:rPr>
        <w:t xml:space="preserve">and course content </w:t>
      </w:r>
      <w:r w:rsidRPr="004E6E49">
        <w:rPr>
          <w:color w:val="000000"/>
        </w:rPr>
        <w:t xml:space="preserve">do not have to </w:t>
      </w:r>
      <w:r w:rsidR="006C47A3">
        <w:rPr>
          <w:color w:val="000000"/>
        </w:rPr>
        <w:t>comply with</w:t>
      </w:r>
      <w:r w:rsidRPr="004E6E49">
        <w:rPr>
          <w:color w:val="000000"/>
        </w:rPr>
        <w:t xml:space="preserve"> the </w:t>
      </w:r>
      <w:r>
        <w:rPr>
          <w:color w:val="000000"/>
        </w:rPr>
        <w:t>S</w:t>
      </w:r>
      <w:r w:rsidRPr="004E6E49">
        <w:rPr>
          <w:color w:val="000000"/>
        </w:rPr>
        <w:t xml:space="preserve">tandard unless specifically requested by a </w:t>
      </w:r>
      <w:r>
        <w:rPr>
          <w:color w:val="000000"/>
        </w:rPr>
        <w:t>University student, faculty, or staff member</w:t>
      </w:r>
      <w:r w:rsidRPr="004E6E49">
        <w:rPr>
          <w:color w:val="000000"/>
        </w:rPr>
        <w:t xml:space="preserve"> with a disability.</w:t>
      </w:r>
    </w:p>
    <w:p w14:paraId="2990D64E" w14:textId="77777777" w:rsidR="00625A6E" w:rsidRDefault="00625A6E"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rsidRPr="00A540F8">
        <w:rPr>
          <w:color w:val="000000"/>
        </w:rPr>
        <w:t xml:space="preserve">In order to use non-captioned video, the video must be contained in a secure, password-protected environment, there must be no students requiring </w:t>
      </w:r>
      <w:r w:rsidR="002B1B14" w:rsidRPr="00A540F8">
        <w:rPr>
          <w:color w:val="000000"/>
        </w:rPr>
        <w:t>captioning</w:t>
      </w:r>
      <w:r w:rsidRPr="00A540F8">
        <w:rPr>
          <w:color w:val="000000"/>
        </w:rPr>
        <w:t xml:space="preserve"> and the video can only be used for a single term. Other exclusions to captioning include student work and raw footage that will never be archived after the current use, as well as video with foreign language subtitles, and instructor-made videos that record feedback to an individual student who doesn’t require captioning. </w:t>
      </w:r>
    </w:p>
    <w:p w14:paraId="347A4A6D" w14:textId="77777777" w:rsidR="00C51F3B" w:rsidRPr="00FC07CB" w:rsidRDefault="001B6B35"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rsidRPr="00A540F8">
        <w:rPr>
          <w:color w:val="000000"/>
        </w:rPr>
        <w:t xml:space="preserve">Single </w:t>
      </w:r>
      <w:r w:rsidR="00446207" w:rsidRPr="00A540F8">
        <w:rPr>
          <w:color w:val="000000"/>
        </w:rPr>
        <w:t>instance</w:t>
      </w:r>
      <w:r w:rsidRPr="00A540F8">
        <w:rPr>
          <w:color w:val="000000"/>
        </w:rPr>
        <w:t xml:space="preserve">, specialized software or hardware </w:t>
      </w:r>
      <w:r w:rsidR="00446207" w:rsidRPr="00A540F8">
        <w:rPr>
          <w:color w:val="000000"/>
        </w:rPr>
        <w:t>purchased</w:t>
      </w:r>
      <w:r w:rsidR="006C47A3" w:rsidRPr="00A540F8">
        <w:rPr>
          <w:color w:val="000000"/>
        </w:rPr>
        <w:t xml:space="preserve"> </w:t>
      </w:r>
      <w:r w:rsidR="00C51F3B" w:rsidRPr="00A540F8">
        <w:rPr>
          <w:color w:val="000000"/>
        </w:rPr>
        <w:t>for individual use.</w:t>
      </w:r>
    </w:p>
    <w:p w14:paraId="5285F424" w14:textId="3DB7369E" w:rsidR="00267CB4" w:rsidRDefault="00267CB4" w:rsidP="00FC07CB">
      <w:pPr>
        <w:pStyle w:val="NormalWeb"/>
        <w:numPr>
          <w:ilvl w:val="1"/>
          <w:numId w:val="19"/>
        </w:numPr>
        <w:shd w:val="clear" w:color="auto" w:fill="FFFFFF"/>
        <w:spacing w:before="0" w:beforeAutospacing="0" w:after="200" w:afterAutospacing="0" w:line="240" w:lineRule="atLeast"/>
        <w:jc w:val="both"/>
        <w:textAlignment w:val="baseline"/>
        <w:rPr>
          <w:color w:val="000000"/>
        </w:rPr>
      </w:pPr>
      <w:r>
        <w:t xml:space="preserve">When compliance is not technically possible, would require a fundamental alteration, or would result in an undue burden, exceptions to the policy may be granted </w:t>
      </w:r>
      <w:r w:rsidR="00781E53">
        <w:t>through the exception review process</w:t>
      </w:r>
      <w:r w:rsidR="00221437">
        <w:t xml:space="preserve"> (</w:t>
      </w:r>
      <w:r w:rsidR="006E6BF9">
        <w:rPr>
          <w:rFonts w:eastAsia="Calibri"/>
        </w:rPr>
        <w:t xml:space="preserve">outlined </w:t>
      </w:r>
      <w:r w:rsidR="00221437">
        <w:rPr>
          <w:rFonts w:eastAsia="Calibri"/>
        </w:rPr>
        <w:t>below in Section V.</w:t>
      </w:r>
      <w:r w:rsidR="00781E53">
        <w:rPr>
          <w:rFonts w:eastAsia="Calibri"/>
        </w:rPr>
        <w:t>A</w:t>
      </w:r>
      <w:r w:rsidR="00221437">
        <w:rPr>
          <w:rFonts w:eastAsia="Calibri"/>
        </w:rPr>
        <w:t>.)</w:t>
      </w:r>
      <w:r w:rsidR="00221437">
        <w:t xml:space="preserve"> </w:t>
      </w:r>
      <w:r>
        <w:t xml:space="preserve">and shall </w:t>
      </w:r>
      <w:r w:rsidRPr="00290EC2">
        <w:rPr>
          <w:noProof/>
        </w:rPr>
        <w:t>be appropriately documented</w:t>
      </w:r>
      <w:r>
        <w:t>.</w:t>
      </w:r>
    </w:p>
    <w:p w14:paraId="77F3D9EC" w14:textId="77777777" w:rsidR="00394E65" w:rsidRDefault="00394E65" w:rsidP="00F522DA">
      <w:pPr>
        <w:pStyle w:val="Heading1"/>
        <w:numPr>
          <w:ilvl w:val="0"/>
          <w:numId w:val="1"/>
        </w:numPr>
        <w:ind w:right="180"/>
      </w:pPr>
      <w:bookmarkStart w:id="4" w:name="_Toc346812109"/>
      <w:r>
        <w:t xml:space="preserve">To </w:t>
      </w:r>
      <w:r w:rsidRPr="00CF7E73">
        <w:t>Who</w:t>
      </w:r>
      <w:r>
        <w:t>m</w:t>
      </w:r>
      <w:r w:rsidRPr="00CF7E73">
        <w:t xml:space="preserve"> </w:t>
      </w:r>
      <w:r>
        <w:t>Does This Policy Apply</w:t>
      </w:r>
      <w:bookmarkEnd w:id="4"/>
      <w:r w:rsidRPr="00CF7E73">
        <w:t xml:space="preserve"> </w:t>
      </w:r>
    </w:p>
    <w:p w14:paraId="60FC328F" w14:textId="77777777" w:rsidR="00394E65" w:rsidRPr="00FC07CB" w:rsidRDefault="003842C0" w:rsidP="00FC07CB">
      <w:pPr>
        <w:spacing w:before="200" w:after="200"/>
        <w:ind w:left="720"/>
        <w:rPr>
          <w:bCs/>
          <w:iCs/>
          <w:color w:val="000000"/>
        </w:rPr>
      </w:pPr>
      <w:sdt>
        <w:sdtPr>
          <w:rPr>
            <w:bCs/>
            <w:iCs/>
            <w:color w:val="000000"/>
          </w:rPr>
          <w:id w:val="34011104"/>
        </w:sdtPr>
        <w:sdtEndPr/>
        <w:sdtContent>
          <w:r w:rsidR="00F522DA" w:rsidRPr="00FC07CB">
            <w:rPr>
              <w:rFonts w:ascii="MS Gothic" w:eastAsia="MS Gothic" w:hAnsi="MS Gothic"/>
              <w:bCs/>
              <w:iCs/>
              <w:color w:val="000000"/>
            </w:rPr>
            <w:t>☒</w:t>
          </w:r>
        </w:sdtContent>
      </w:sdt>
      <w:r w:rsidR="00394E65" w:rsidRPr="00FC07CB">
        <w:rPr>
          <w:bCs/>
          <w:iCs/>
          <w:color w:val="000000"/>
        </w:rPr>
        <w:t xml:space="preserve"> </w:t>
      </w:r>
      <w:r w:rsidR="00A540F8" w:rsidRPr="00FC07CB">
        <w:rPr>
          <w:rFonts w:eastAsia="Calibri"/>
        </w:rPr>
        <w:t xml:space="preserve">Students </w:t>
      </w:r>
      <w:sdt>
        <w:sdtPr>
          <w:rPr>
            <w:bCs/>
            <w:iCs/>
            <w:color w:val="000000"/>
          </w:rPr>
          <w:id w:val="-1472588727"/>
        </w:sdtPr>
        <w:sdtEndPr/>
        <w:sdtContent>
          <w:r w:rsidR="00F522DA" w:rsidRPr="00FC07CB">
            <w:rPr>
              <w:rFonts w:ascii="MS Gothic" w:eastAsia="MS Gothic" w:hAnsi="MS Gothic"/>
              <w:bCs/>
              <w:iCs/>
              <w:color w:val="000000"/>
            </w:rPr>
            <w:t>☒</w:t>
          </w:r>
        </w:sdtContent>
      </w:sdt>
      <w:r w:rsidR="00394E65" w:rsidRPr="00FC07CB">
        <w:rPr>
          <w:bCs/>
          <w:iCs/>
          <w:color w:val="000000"/>
        </w:rPr>
        <w:t xml:space="preserve"> </w:t>
      </w:r>
      <w:r w:rsidR="00394E65" w:rsidRPr="00FC07CB">
        <w:rPr>
          <w:rFonts w:eastAsia="Calibri"/>
        </w:rPr>
        <w:t xml:space="preserve">Faculty </w:t>
      </w:r>
      <w:sdt>
        <w:sdtPr>
          <w:rPr>
            <w:bCs/>
            <w:iCs/>
            <w:color w:val="000000"/>
          </w:rPr>
          <w:id w:val="-1941522677"/>
        </w:sdtPr>
        <w:sdtEndPr/>
        <w:sdtContent>
          <w:r w:rsidR="00F522DA" w:rsidRPr="00FC07CB">
            <w:rPr>
              <w:rFonts w:ascii="MS Gothic" w:eastAsia="MS Gothic" w:hAnsi="MS Gothic"/>
              <w:bCs/>
              <w:iCs/>
              <w:color w:val="000000"/>
            </w:rPr>
            <w:t>☒</w:t>
          </w:r>
        </w:sdtContent>
      </w:sdt>
      <w:r w:rsidR="00394E65" w:rsidRPr="00FC07CB">
        <w:rPr>
          <w:bCs/>
          <w:iCs/>
          <w:color w:val="000000"/>
        </w:rPr>
        <w:t xml:space="preserve"> </w:t>
      </w:r>
      <w:r w:rsidR="00394E65" w:rsidRPr="00FC07CB">
        <w:rPr>
          <w:rFonts w:eastAsia="Calibri"/>
        </w:rPr>
        <w:t xml:space="preserve">Staff </w:t>
      </w:r>
      <w:sdt>
        <w:sdtPr>
          <w:rPr>
            <w:bCs/>
            <w:iCs/>
            <w:color w:val="000000"/>
          </w:rPr>
          <w:id w:val="-2030326635"/>
        </w:sdtPr>
        <w:sdtEndPr/>
        <w:sdtContent>
          <w:sdt>
            <w:sdtPr>
              <w:rPr>
                <w:rFonts w:ascii="MS Gothic" w:eastAsia="MS Gothic" w:hAnsi="MS Gothic"/>
                <w:bCs/>
                <w:iCs/>
                <w:color w:val="000000"/>
              </w:rPr>
              <w:id w:val="-1371909984"/>
            </w:sdtPr>
            <w:sdtEndPr/>
            <w:sdtContent>
              <w:sdt>
                <w:sdtPr>
                  <w:rPr>
                    <w:bCs/>
                    <w:iCs/>
                    <w:color w:val="000000"/>
                  </w:rPr>
                  <w:id w:val="655265510"/>
                </w:sdtPr>
                <w:sdtEndPr/>
                <w:sdtContent>
                  <w:r w:rsidR="006074C1" w:rsidRPr="00FC07CB">
                    <w:rPr>
                      <w:rFonts w:ascii="MS Gothic" w:eastAsia="MS Gothic" w:hAnsi="MS Gothic"/>
                      <w:bCs/>
                      <w:iCs/>
                      <w:color w:val="000000"/>
                    </w:rPr>
                    <w:t>☒</w:t>
                  </w:r>
                </w:sdtContent>
              </w:sdt>
            </w:sdtContent>
          </w:sdt>
        </w:sdtContent>
      </w:sdt>
      <w:r w:rsidR="00394E65" w:rsidRPr="00FC07CB">
        <w:rPr>
          <w:bCs/>
          <w:iCs/>
          <w:color w:val="000000"/>
        </w:rPr>
        <w:t xml:space="preserve"> </w:t>
      </w:r>
      <w:r w:rsidR="00221437">
        <w:rPr>
          <w:bCs/>
          <w:iCs/>
          <w:color w:val="000000"/>
        </w:rPr>
        <w:t>Guests/</w:t>
      </w:r>
      <w:r w:rsidR="00394E65" w:rsidRPr="00FC07CB">
        <w:rPr>
          <w:rFonts w:eastAsia="Calibri"/>
        </w:rPr>
        <w:t xml:space="preserve">Visitors </w:t>
      </w:r>
      <w:sdt>
        <w:sdtPr>
          <w:rPr>
            <w:bCs/>
            <w:iCs/>
            <w:color w:val="000000"/>
          </w:rPr>
          <w:id w:val="-1505973340"/>
        </w:sdtPr>
        <w:sdtEndPr/>
        <w:sdtContent>
          <w:r w:rsidR="00F522DA" w:rsidRPr="00FC07CB">
            <w:rPr>
              <w:rFonts w:ascii="MS Gothic" w:eastAsia="MS Gothic" w:hAnsi="MS Gothic"/>
              <w:bCs/>
              <w:iCs/>
              <w:color w:val="000000"/>
            </w:rPr>
            <w:t>☒</w:t>
          </w:r>
        </w:sdtContent>
      </w:sdt>
      <w:r w:rsidR="00394E65" w:rsidRPr="00FC07CB">
        <w:rPr>
          <w:bCs/>
          <w:iCs/>
          <w:color w:val="000000"/>
        </w:rPr>
        <w:t xml:space="preserve"> Other</w:t>
      </w:r>
      <w:r w:rsidR="00F522DA" w:rsidRPr="00FC07CB">
        <w:rPr>
          <w:bCs/>
          <w:iCs/>
          <w:color w:val="000000"/>
        </w:rPr>
        <w:t xml:space="preserve"> Vendors &amp; Suppliers</w:t>
      </w:r>
    </w:p>
    <w:p w14:paraId="462C93A8" w14:textId="77777777" w:rsidR="000074C7" w:rsidRDefault="000074C7" w:rsidP="00F522DA">
      <w:pPr>
        <w:pStyle w:val="Heading1"/>
        <w:numPr>
          <w:ilvl w:val="0"/>
          <w:numId w:val="1"/>
        </w:numPr>
        <w:pBdr>
          <w:top w:val="single" w:sz="8" w:space="0" w:color="auto"/>
        </w:pBdr>
        <w:ind w:right="180"/>
      </w:pPr>
      <w:bookmarkStart w:id="5" w:name="_Toc346812114"/>
      <w:r>
        <w:t>Appendices</w:t>
      </w:r>
      <w:bookmarkEnd w:id="5"/>
      <w:r>
        <w:t xml:space="preserve"> </w:t>
      </w:r>
    </w:p>
    <w:p w14:paraId="3729699A" w14:textId="77777777" w:rsidR="00453485" w:rsidRDefault="00DE22FE" w:rsidP="00FC07CB">
      <w:pPr>
        <w:pStyle w:val="Heading2"/>
        <w:numPr>
          <w:ilvl w:val="0"/>
          <w:numId w:val="8"/>
        </w:numPr>
        <w:spacing w:before="200"/>
      </w:pPr>
      <w:r>
        <w:t>Procedures</w:t>
      </w:r>
    </w:p>
    <w:p w14:paraId="4AC4FD0E" w14:textId="77777777" w:rsidR="00DE22FE" w:rsidRDefault="00DE22FE" w:rsidP="00F05929">
      <w:pPr>
        <w:pStyle w:val="NormalWeb"/>
        <w:numPr>
          <w:ilvl w:val="0"/>
          <w:numId w:val="20"/>
        </w:numPr>
        <w:jc w:val="both"/>
      </w:pPr>
      <w:r>
        <w:t>Compliance</w:t>
      </w:r>
    </w:p>
    <w:p w14:paraId="465806DA" w14:textId="1CB75307" w:rsidR="0059203C" w:rsidRDefault="0059203C" w:rsidP="00012C63">
      <w:pPr>
        <w:pStyle w:val="NormalWeb"/>
        <w:spacing w:before="120" w:beforeAutospacing="0"/>
        <w:ind w:left="1440"/>
        <w:jc w:val="both"/>
      </w:pPr>
      <w:r>
        <w:t xml:space="preserve">Assessment of Information and Communication Technology </w:t>
      </w:r>
      <w:r w:rsidRPr="00221396">
        <w:t xml:space="preserve">products </w:t>
      </w:r>
      <w:r>
        <w:t xml:space="preserve">and services acquired or developed after the effective date of this policy shall follow the </w:t>
      </w:r>
      <w:r w:rsidR="00553DD3">
        <w:t>process outlined on</w:t>
      </w:r>
      <w:r w:rsidR="00AC39D7">
        <w:t xml:space="preserve"> the</w:t>
      </w:r>
      <w:r w:rsidR="00553DD3">
        <w:t xml:space="preserve"> </w:t>
      </w:r>
      <w:hyperlink r:id="rId11" w:history="1">
        <w:r w:rsidRPr="00E71FCA">
          <w:rPr>
            <w:rStyle w:val="Hyperlink"/>
          </w:rPr>
          <w:t>Procurement Accessibility Review</w:t>
        </w:r>
      </w:hyperlink>
      <w:r>
        <w:t xml:space="preserve"> </w:t>
      </w:r>
      <w:r w:rsidR="00553DD3">
        <w:t>web page</w:t>
      </w:r>
      <w:r>
        <w:t>. All ICT purchase requests will be reviewed for accessibility and a report submitted to the ICT Accessibility Assessment Committee. The ICT Accessibility Assessment Committee can approve the purchase, approve the purchase with conditions or deny the purchase.</w:t>
      </w:r>
    </w:p>
    <w:p w14:paraId="3A0BAE51" w14:textId="77777777" w:rsidR="0059203C" w:rsidRDefault="0059203C" w:rsidP="00553DD3">
      <w:pPr>
        <w:pStyle w:val="NormalWeb"/>
        <w:spacing w:before="120" w:beforeAutospacing="0"/>
        <w:ind w:left="1440"/>
        <w:jc w:val="both"/>
      </w:pPr>
      <w:r>
        <w:t xml:space="preserve">If denied, exceptions to the policy may be granted by the Information and Communication Technology Accessibility Compliance Committee (“ICT Accessibility Compliance Committee”). </w:t>
      </w:r>
    </w:p>
    <w:p w14:paraId="6D2B1A16" w14:textId="77777777" w:rsidR="0059203C" w:rsidRPr="006B1C0F" w:rsidRDefault="0059203C" w:rsidP="00553DD3">
      <w:pPr>
        <w:pStyle w:val="NormalWeb"/>
        <w:spacing w:before="120" w:beforeAutospacing="0"/>
        <w:ind w:left="1440"/>
        <w:jc w:val="both"/>
      </w:pPr>
      <w:r>
        <w:t xml:space="preserve">Whenever an exception </w:t>
      </w:r>
      <w:r w:rsidRPr="00290EC2">
        <w:rPr>
          <w:noProof/>
        </w:rPr>
        <w:t>is granted</w:t>
      </w:r>
      <w:r>
        <w:t xml:space="preserve">, the University must use reasonable efforts to develop a plan for the functional academic or administrative unit seeking the exception to provide equally effective alternate access to the information or service of the technology to students or employees with disabilities who have a need to access the information or service. </w:t>
      </w:r>
    </w:p>
    <w:p w14:paraId="6DEBC6B9" w14:textId="77777777" w:rsidR="00F649C7" w:rsidRDefault="00F4128F">
      <w:pPr>
        <w:pStyle w:val="NormalWeb"/>
        <w:spacing w:before="120" w:beforeAutospacing="0"/>
        <w:ind w:left="1440"/>
        <w:jc w:val="both"/>
      </w:pPr>
      <w:r>
        <w:t>All approved ex</w:t>
      </w:r>
      <w:r w:rsidR="00267898">
        <w:t>ception</w:t>
      </w:r>
      <w:r>
        <w:t xml:space="preserve"> </w:t>
      </w:r>
      <w:r w:rsidR="00316E69">
        <w:t>requests</w:t>
      </w:r>
      <w:r w:rsidR="00267898">
        <w:t xml:space="preserve"> are termed </w:t>
      </w:r>
      <w:r w:rsidR="00F227E7">
        <w:t>such that they</w:t>
      </w:r>
      <w:r w:rsidR="00316E69">
        <w:t xml:space="preserve"> </w:t>
      </w:r>
      <w:r w:rsidR="00267898">
        <w:t>will</w:t>
      </w:r>
      <w:r w:rsidR="00316E69">
        <w:t xml:space="preserve"> </w:t>
      </w:r>
      <w:r w:rsidR="00267898">
        <w:t xml:space="preserve">need to </w:t>
      </w:r>
      <w:r w:rsidR="00316E69">
        <w:t>be</w:t>
      </w:r>
      <w:r>
        <w:t xml:space="preserve"> </w:t>
      </w:r>
      <w:r w:rsidR="00267898">
        <w:t xml:space="preserve">evaluated </w:t>
      </w:r>
      <w:r>
        <w:t xml:space="preserve">every two years or </w:t>
      </w:r>
      <w:r w:rsidR="00316E69">
        <w:t xml:space="preserve">at the </w:t>
      </w:r>
      <w:r w:rsidR="00267898">
        <w:t xml:space="preserve">time of the </w:t>
      </w:r>
      <w:r w:rsidR="00316E69">
        <w:t>contract</w:t>
      </w:r>
      <w:r>
        <w:t xml:space="preserve"> renewal of the product or resource. </w:t>
      </w:r>
    </w:p>
    <w:p w14:paraId="1CD2A285" w14:textId="77777777" w:rsidR="00350287" w:rsidRDefault="004A4F0D" w:rsidP="009A55CD">
      <w:pPr>
        <w:pStyle w:val="NormalWeb"/>
        <w:numPr>
          <w:ilvl w:val="0"/>
          <w:numId w:val="20"/>
        </w:numPr>
        <w:jc w:val="both"/>
      </w:pPr>
      <w:r>
        <w:t>Assistance</w:t>
      </w:r>
    </w:p>
    <w:p w14:paraId="57B17D84" w14:textId="77777777" w:rsidR="00C818CF" w:rsidRDefault="004A4F0D" w:rsidP="009A55CD">
      <w:pPr>
        <w:pStyle w:val="NormalWeb"/>
        <w:spacing w:before="120" w:beforeAutospacing="0"/>
        <w:ind w:left="1440"/>
        <w:jc w:val="both"/>
      </w:pPr>
      <w:r>
        <w:t xml:space="preserve">Requests for assistance with Information and Communication Technology Accessibility can be sent to </w:t>
      </w:r>
      <w:hyperlink r:id="rId12" w:history="1">
        <w:r w:rsidR="000B2EE8">
          <w:rPr>
            <w:rStyle w:val="Hyperlink"/>
          </w:rPr>
          <w:t>accessibleIT@syr.edu</w:t>
        </w:r>
      </w:hyperlink>
      <w:r w:rsidR="00087D0E">
        <w:t xml:space="preserve"> </w:t>
      </w:r>
      <w:r w:rsidR="00221437">
        <w:t>or</w:t>
      </w:r>
      <w:r w:rsidR="00087D0E">
        <w:t xml:space="preserve"> </w:t>
      </w:r>
      <w:r w:rsidR="00030BDA">
        <w:t xml:space="preserve">by </w:t>
      </w:r>
      <w:r>
        <w:t>calling 315-443-2677</w:t>
      </w:r>
      <w:r w:rsidR="00087D0E">
        <w:t>.</w:t>
      </w:r>
      <w:r>
        <w:t xml:space="preserve"> </w:t>
      </w:r>
      <w:r w:rsidR="00087D0E">
        <w:t>Additional information</w:t>
      </w:r>
      <w:r w:rsidR="00030BDA">
        <w:t xml:space="preserve"> </w:t>
      </w:r>
      <w:r w:rsidR="00D2287B">
        <w:t xml:space="preserve">can </w:t>
      </w:r>
      <w:r w:rsidR="00030BDA">
        <w:t xml:space="preserve">be </w:t>
      </w:r>
      <w:r>
        <w:t>found on the</w:t>
      </w:r>
      <w:r w:rsidR="00C818CF">
        <w:t xml:space="preserve"> </w:t>
      </w:r>
      <w:hyperlink r:id="rId13" w:history="1">
        <w:r w:rsidRPr="00142C6A">
          <w:rPr>
            <w:rStyle w:val="Hyperlink"/>
          </w:rPr>
          <w:t>ITSaccessibility.syr.edu</w:t>
        </w:r>
      </w:hyperlink>
      <w:r>
        <w:t xml:space="preserve"> website.</w:t>
      </w:r>
    </w:p>
    <w:p w14:paraId="4F290971" w14:textId="77777777" w:rsidR="00350287" w:rsidRPr="00DE22FE" w:rsidRDefault="00350287" w:rsidP="009A55CD">
      <w:pPr>
        <w:pStyle w:val="NormalWeb"/>
        <w:numPr>
          <w:ilvl w:val="0"/>
          <w:numId w:val="20"/>
        </w:numPr>
        <w:jc w:val="both"/>
      </w:pPr>
      <w:r>
        <w:t>Complaints</w:t>
      </w:r>
    </w:p>
    <w:p w14:paraId="745C21BE" w14:textId="77777777" w:rsidR="00350287" w:rsidRPr="00102FB0" w:rsidRDefault="00350287" w:rsidP="00350287">
      <w:pPr>
        <w:pStyle w:val="NormalWeb"/>
        <w:spacing w:before="120" w:beforeAutospacing="0"/>
        <w:ind w:left="1440"/>
        <w:jc w:val="both"/>
      </w:pPr>
      <w:r w:rsidRPr="00290EC2">
        <w:rPr>
          <w:noProof/>
        </w:rPr>
        <w:t xml:space="preserve">Any individual who has complaints about the accessibility of the University’s </w:t>
      </w:r>
      <w:r w:rsidR="004A4F0D">
        <w:rPr>
          <w:noProof/>
        </w:rPr>
        <w:t>Information and Communicaton Technology</w:t>
      </w:r>
      <w:r w:rsidR="004A4F0D" w:rsidRPr="00290EC2">
        <w:rPr>
          <w:noProof/>
        </w:rPr>
        <w:t xml:space="preserve"> </w:t>
      </w:r>
      <w:r w:rsidRPr="00290EC2">
        <w:rPr>
          <w:noProof/>
        </w:rPr>
        <w:t xml:space="preserve">should contact Information Technology Services at 1-205 Center for Science and Technology, Syracuse University, Syracuse, NY 13244; by email: </w:t>
      </w:r>
      <w:hyperlink r:id="rId14" w:history="1">
        <w:r w:rsidR="00030BDA">
          <w:rPr>
            <w:rStyle w:val="Hyperlink"/>
            <w:noProof/>
          </w:rPr>
          <w:t>help@syr.edu</w:t>
        </w:r>
      </w:hyperlink>
      <w:r w:rsidRPr="00290EC2">
        <w:rPr>
          <w:noProof/>
        </w:rPr>
        <w:t>; or by telephone: 315-443-2677.</w:t>
      </w:r>
      <w:r w:rsidRPr="00102FB0">
        <w:t xml:space="preserve"> </w:t>
      </w:r>
    </w:p>
    <w:p w14:paraId="0D87733B" w14:textId="77777777" w:rsidR="00350287" w:rsidRDefault="00350287" w:rsidP="00350287">
      <w:pPr>
        <w:pStyle w:val="NormalWeb"/>
        <w:ind w:left="1440"/>
        <w:jc w:val="both"/>
      </w:pPr>
      <w:r w:rsidRPr="004856E2">
        <w:t xml:space="preserve">If a person does not receive a satisfactory resolution from </w:t>
      </w:r>
      <w:r w:rsidR="004A4F0D">
        <w:t>Information Technology Services</w:t>
      </w:r>
      <w:r w:rsidRPr="004856E2">
        <w:t xml:space="preserve">, </w:t>
      </w:r>
      <w:r>
        <w:t>they should</w:t>
      </w:r>
      <w:r w:rsidRPr="004856E2">
        <w:t xml:space="preserve"> contact </w:t>
      </w:r>
      <w:hyperlink r:id="rId15" w:history="1">
        <w:r w:rsidRPr="007F498B">
          <w:rPr>
            <w:rStyle w:val="Hyperlink"/>
          </w:rPr>
          <w:t>Equal Opportunity, Inclusion and Resolution Services</w:t>
        </w:r>
        <w:r w:rsidR="007F498B" w:rsidRPr="007F498B">
          <w:rPr>
            <w:rStyle w:val="Hyperlink"/>
          </w:rPr>
          <w:t xml:space="preserve"> (EOIRS)</w:t>
        </w:r>
      </w:hyperlink>
      <w:r w:rsidR="004A4F0D" w:rsidRPr="00745DCF">
        <w:t xml:space="preserve">. </w:t>
      </w:r>
      <w:r w:rsidR="007F498B">
        <w:t>EOIRS</w:t>
      </w:r>
      <w:r w:rsidRPr="008C7682">
        <w:t xml:space="preserve"> </w:t>
      </w:r>
      <w:r w:rsidRPr="00290EC2">
        <w:rPr>
          <w:noProof/>
        </w:rPr>
        <w:t>is responsible for</w:t>
      </w:r>
      <w:r w:rsidRPr="008C7682">
        <w:t xml:space="preserve"> coordinating compliance efforts under vario</w:t>
      </w:r>
      <w:r>
        <w:t>us laws including Titles VI, IX,</w:t>
      </w:r>
      <w:r w:rsidRPr="008C7682">
        <w:t xml:space="preserve"> Section 504 of the Rehabilitation Act</w:t>
      </w:r>
      <w:r>
        <w:t>, and</w:t>
      </w:r>
      <w:r w:rsidRPr="008C7682">
        <w:t xml:space="preserve"> </w:t>
      </w:r>
      <w:r>
        <w:t>t</w:t>
      </w:r>
      <w:r w:rsidRPr="008C7682">
        <w:t>he Americans with Disabilit</w:t>
      </w:r>
      <w:r>
        <w:t>ies</w:t>
      </w:r>
      <w:r w:rsidRPr="008C7682">
        <w:t xml:space="preserve"> Act. Contact </w:t>
      </w:r>
      <w:r w:rsidR="007F498B">
        <w:t>EOIRS</w:t>
      </w:r>
      <w:r w:rsidR="004A4F0D" w:rsidDel="004A4F0D">
        <w:t xml:space="preserve"> </w:t>
      </w:r>
      <w:r w:rsidRPr="008C7682">
        <w:t>at 005 Steele Hall, Syracuse Universi</w:t>
      </w:r>
      <w:r>
        <w:t xml:space="preserve">ty, Syracuse, NY 13244-1520; </w:t>
      </w:r>
      <w:r w:rsidRPr="008C7682">
        <w:t xml:space="preserve">by email: </w:t>
      </w:r>
      <w:hyperlink r:id="rId16" w:history="1">
        <w:r w:rsidRPr="00BD7577">
          <w:rPr>
            <w:rStyle w:val="Hyperlink"/>
          </w:rPr>
          <w:t>ada@syr.edu</w:t>
        </w:r>
      </w:hyperlink>
      <w:r w:rsidRPr="008C7682">
        <w:t>; or by telephone: 315-443-4018.</w:t>
      </w:r>
    </w:p>
    <w:p w14:paraId="205C65FE" w14:textId="77777777" w:rsidR="00C01A1A" w:rsidRPr="00963297" w:rsidRDefault="007E62BD" w:rsidP="002272DC">
      <w:pPr>
        <w:pStyle w:val="Heading2"/>
        <w:numPr>
          <w:ilvl w:val="0"/>
          <w:numId w:val="8"/>
        </w:numPr>
        <w:rPr>
          <w:rStyle w:val="Emphasis"/>
          <w:b w:val="0"/>
          <w:i w:val="0"/>
          <w:iCs w:val="0"/>
        </w:rPr>
      </w:pPr>
      <w:r>
        <w:t>Definitions</w:t>
      </w:r>
    </w:p>
    <w:p w14:paraId="13C186A9" w14:textId="77777777" w:rsidR="001D791B" w:rsidRPr="009A55CD" w:rsidRDefault="001D791B" w:rsidP="002272DC">
      <w:pPr>
        <w:numPr>
          <w:ilvl w:val="0"/>
          <w:numId w:val="16"/>
        </w:numPr>
        <w:spacing w:before="100" w:beforeAutospacing="1" w:after="100" w:afterAutospacing="1"/>
        <w:ind w:left="1440"/>
      </w:pPr>
      <w:r w:rsidRPr="009A55CD">
        <w:rPr>
          <w:rStyle w:val="Emphasis"/>
          <w:b/>
          <w:bCs/>
        </w:rPr>
        <w:t xml:space="preserve">Accessible. </w:t>
      </w:r>
      <w:r w:rsidR="004A4F0D">
        <w:rPr>
          <w:noProof/>
        </w:rPr>
        <w:t>A</w:t>
      </w:r>
      <w:r w:rsidRPr="00E9499D">
        <w:rPr>
          <w:noProof/>
        </w:rPr>
        <w:t xml:space="preserve"> person with a disability is afforded the opportunity to acquire the same information, engage in the same interactions, and enjoy the same services as a person without a disability in an equally effective and equally integrated manner, with substantially equivalent ease of use.</w:t>
      </w:r>
      <w:r w:rsidRPr="00E9499D">
        <w:t xml:space="preserve">  </w:t>
      </w:r>
    </w:p>
    <w:p w14:paraId="0257BC84" w14:textId="77777777" w:rsidR="001D791B" w:rsidRPr="009A55CD" w:rsidRDefault="001D791B" w:rsidP="002272DC">
      <w:pPr>
        <w:numPr>
          <w:ilvl w:val="0"/>
          <w:numId w:val="16"/>
        </w:numPr>
        <w:spacing w:before="100" w:beforeAutospacing="1" w:after="100" w:afterAutospacing="1"/>
        <w:ind w:left="1440"/>
      </w:pPr>
      <w:r w:rsidRPr="009A55CD">
        <w:rPr>
          <w:rStyle w:val="Emphasis"/>
          <w:b/>
          <w:bCs/>
        </w:rPr>
        <w:t>Archive Web Site or Page</w:t>
      </w:r>
      <w:r w:rsidRPr="00745DCF">
        <w:rPr>
          <w:b/>
        </w:rPr>
        <w:t>.</w:t>
      </w:r>
      <w:r w:rsidRPr="009A55CD">
        <w:t xml:space="preserve"> A Web site or </w:t>
      </w:r>
      <w:r w:rsidRPr="009A55CD">
        <w:rPr>
          <w:noProof/>
        </w:rPr>
        <w:t>page</w:t>
      </w:r>
      <w:r w:rsidRPr="009A55CD">
        <w:t xml:space="preserve"> no longer in use but subject to records retention plans.</w:t>
      </w:r>
    </w:p>
    <w:p w14:paraId="7AE7D37D" w14:textId="77777777" w:rsidR="008A69B3" w:rsidRPr="009A55CD" w:rsidRDefault="008A69B3" w:rsidP="002272DC">
      <w:pPr>
        <w:numPr>
          <w:ilvl w:val="0"/>
          <w:numId w:val="16"/>
        </w:numPr>
        <w:spacing w:before="100" w:beforeAutospacing="1" w:after="100" w:afterAutospacing="1"/>
        <w:ind w:left="1440"/>
      </w:pPr>
      <w:r w:rsidRPr="009A55CD">
        <w:rPr>
          <w:rStyle w:val="Strong"/>
          <w:i/>
          <w:iCs/>
        </w:rPr>
        <w:t xml:space="preserve">Assistive </w:t>
      </w:r>
      <w:r w:rsidR="008D3738" w:rsidRPr="009A55CD">
        <w:rPr>
          <w:rStyle w:val="Strong"/>
          <w:i/>
          <w:iCs/>
        </w:rPr>
        <w:t>T</w:t>
      </w:r>
      <w:r w:rsidRPr="009A55CD">
        <w:rPr>
          <w:rStyle w:val="Strong"/>
          <w:i/>
          <w:iCs/>
        </w:rPr>
        <w:t>echnology</w:t>
      </w:r>
      <w:r w:rsidRPr="00745DCF">
        <w:rPr>
          <w:rStyle w:val="Emphasis"/>
          <w:b/>
        </w:rPr>
        <w:t>.</w:t>
      </w:r>
      <w:r w:rsidRPr="00745DCF">
        <w:rPr>
          <w:b/>
        </w:rPr>
        <w:t> </w:t>
      </w:r>
      <w:r w:rsidRPr="009A55CD">
        <w:t xml:space="preserve"> Any item, piece of equipment, or system, whether acquired commercially, modified, or </w:t>
      </w:r>
      <w:r w:rsidRPr="009A55CD">
        <w:rPr>
          <w:noProof/>
        </w:rPr>
        <w:t>customized,</w:t>
      </w:r>
      <w:r w:rsidRPr="009A55CD">
        <w:t xml:space="preserve"> that is commonly used to increase, maintain, or improve functional capabilities </w:t>
      </w:r>
      <w:r w:rsidR="00030BDA">
        <w:t>for</w:t>
      </w:r>
      <w:r w:rsidR="00030BDA" w:rsidRPr="009A55CD">
        <w:t xml:space="preserve"> </w:t>
      </w:r>
      <w:r w:rsidRPr="009A55CD">
        <w:t>individuals with disabilities.</w:t>
      </w:r>
    </w:p>
    <w:p w14:paraId="2AA963D1" w14:textId="77777777" w:rsidR="008A69B3" w:rsidRPr="009A55CD" w:rsidRDefault="008A69B3" w:rsidP="002272DC">
      <w:pPr>
        <w:numPr>
          <w:ilvl w:val="0"/>
          <w:numId w:val="16"/>
        </w:numPr>
        <w:spacing w:before="100" w:beforeAutospacing="1" w:after="100" w:afterAutospacing="1"/>
        <w:ind w:left="1440"/>
      </w:pPr>
      <w:r w:rsidRPr="009A55CD">
        <w:rPr>
          <w:rStyle w:val="Strong"/>
          <w:i/>
          <w:iCs/>
        </w:rPr>
        <w:t>Electronic Document</w:t>
      </w:r>
      <w:r w:rsidRPr="00745DCF">
        <w:rPr>
          <w:rStyle w:val="Emphasis"/>
          <w:b/>
        </w:rPr>
        <w:t>.</w:t>
      </w:r>
      <w:r w:rsidRPr="009A55CD">
        <w:rPr>
          <w:rStyle w:val="Strong"/>
        </w:rPr>
        <w:t>  </w:t>
      </w:r>
      <w:r w:rsidRPr="009A55CD">
        <w:t xml:space="preserve">Any file that is posted or distributed </w:t>
      </w:r>
      <w:r w:rsidR="007F3D4B" w:rsidRPr="009A55CD">
        <w:t>electronically</w:t>
      </w:r>
      <w:r w:rsidRPr="009A55CD">
        <w:t>. These files usually are created, edited and viewed</w:t>
      </w:r>
      <w:r w:rsidR="00030BDA">
        <w:t xml:space="preserve"> or otherwise encountered</w:t>
      </w:r>
      <w:r w:rsidRPr="009A55CD">
        <w:t xml:space="preserve"> with </w:t>
      </w:r>
      <w:r w:rsidR="00CE447A">
        <w:t>desktop and cloud productivity software and can be saved in a local file format or stored online for collaboration and presentation purposes.</w:t>
      </w:r>
      <w:r w:rsidRPr="009A55CD">
        <w:t xml:space="preserve"> Common examples of software used to create such files include Microsoft Office, Apple </w:t>
      </w:r>
      <w:r w:rsidR="00CE447A">
        <w:rPr>
          <w:noProof/>
        </w:rPr>
        <w:t>Pages, Numbers, Google Documents, Sheets,</w:t>
      </w:r>
      <w:r w:rsidR="00CE447A" w:rsidRPr="009A55CD">
        <w:t xml:space="preserve"> </w:t>
      </w:r>
      <w:r w:rsidRPr="009A55CD">
        <w:t xml:space="preserve">and Adobe </w:t>
      </w:r>
      <w:r w:rsidR="00CE447A">
        <w:t xml:space="preserve">Acrobat, Illustrator, and Designer </w:t>
      </w:r>
      <w:r w:rsidRPr="009A55CD">
        <w:t>products.</w:t>
      </w:r>
    </w:p>
    <w:p w14:paraId="3F6707A4" w14:textId="77777777" w:rsidR="001637A4" w:rsidRPr="009A55CD" w:rsidRDefault="001637A4" w:rsidP="002272DC">
      <w:pPr>
        <w:numPr>
          <w:ilvl w:val="0"/>
          <w:numId w:val="16"/>
        </w:numPr>
        <w:spacing w:before="100" w:beforeAutospacing="1" w:after="100" w:afterAutospacing="1"/>
        <w:ind w:left="1440"/>
      </w:pPr>
      <w:r w:rsidRPr="009A55CD">
        <w:rPr>
          <w:rStyle w:val="Strong"/>
          <w:i/>
          <w:iCs/>
        </w:rPr>
        <w:t>Fundamental Alteration.</w:t>
      </w:r>
      <w:r w:rsidRPr="009A55CD">
        <w:rPr>
          <w:b/>
          <w:i/>
        </w:rPr>
        <w:t xml:space="preserve"> </w:t>
      </w:r>
      <w:r w:rsidRPr="009A55CD">
        <w:rPr>
          <w:noProof/>
        </w:rPr>
        <w:t>A change to a Syracuse University program or service that alters the essential purpose of the program or service or any of its components.</w:t>
      </w:r>
    </w:p>
    <w:p w14:paraId="6E9CF9B0" w14:textId="77777777" w:rsidR="00404B20" w:rsidRPr="00BB321D" w:rsidRDefault="00404B20" w:rsidP="00404B20">
      <w:pPr>
        <w:numPr>
          <w:ilvl w:val="0"/>
          <w:numId w:val="16"/>
        </w:numPr>
        <w:spacing w:before="100" w:beforeAutospacing="1" w:after="100" w:afterAutospacing="1"/>
        <w:ind w:left="1440"/>
        <w:rPr>
          <w:rStyle w:val="Strong"/>
          <w:b w:val="0"/>
          <w:bCs w:val="0"/>
        </w:rPr>
      </w:pPr>
      <w:r w:rsidRPr="009A55CD">
        <w:rPr>
          <w:rStyle w:val="Strong"/>
          <w:bCs w:val="0"/>
          <w:i/>
        </w:rPr>
        <w:t>Standards</w:t>
      </w:r>
      <w:r w:rsidR="00F07EE8">
        <w:rPr>
          <w:rStyle w:val="Strong"/>
          <w:bCs w:val="0"/>
          <w:i/>
        </w:rPr>
        <w:t xml:space="preserve"> and Guidelines</w:t>
      </w:r>
      <w:r w:rsidRPr="009A55CD">
        <w:rPr>
          <w:rStyle w:val="Strong"/>
          <w:bCs w:val="0"/>
          <w:i/>
        </w:rPr>
        <w:t>.</w:t>
      </w:r>
      <w:r w:rsidRPr="00E9499D">
        <w:t xml:space="preserve"> Following the University’s guidelines and standards will add functionality and usability for all users, including users of assistive technology. The </w:t>
      </w:r>
      <w:r>
        <w:t xml:space="preserve">current </w:t>
      </w:r>
      <w:r w:rsidR="00221437">
        <w:t>Information and Communication Technology</w:t>
      </w:r>
      <w:r>
        <w:t xml:space="preserve"> standard and </w:t>
      </w:r>
      <w:r w:rsidRPr="00E9499D">
        <w:t xml:space="preserve">web accessibility guidelines are available on the University’s knowledge repository, </w:t>
      </w:r>
      <w:hyperlink r:id="rId17" w:history="1">
        <w:r w:rsidRPr="00BB321D">
          <w:rPr>
            <w:rStyle w:val="Hyperlink"/>
            <w:color w:val="auto"/>
          </w:rPr>
          <w:t>Answers: Web Accessibility Standards and Examples</w:t>
        </w:r>
      </w:hyperlink>
      <w:r w:rsidRPr="00E9499D">
        <w:t xml:space="preserve">. </w:t>
      </w:r>
    </w:p>
    <w:p w14:paraId="1723D059" w14:textId="77777777" w:rsidR="00866894" w:rsidRPr="00E9499D" w:rsidRDefault="00866894" w:rsidP="00605380">
      <w:pPr>
        <w:numPr>
          <w:ilvl w:val="0"/>
          <w:numId w:val="16"/>
        </w:numPr>
        <w:spacing w:before="100" w:beforeAutospacing="1" w:after="100" w:afterAutospacing="1"/>
        <w:ind w:left="1440"/>
      </w:pPr>
      <w:r w:rsidRPr="00BD485C">
        <w:rPr>
          <w:rStyle w:val="Strong"/>
          <w:i/>
          <w:iCs/>
        </w:rPr>
        <w:t>Information and Communication Technology</w:t>
      </w:r>
      <w:r w:rsidRPr="00745DCF">
        <w:rPr>
          <w:rStyle w:val="Emphasis"/>
          <w:b/>
        </w:rPr>
        <w:t>.</w:t>
      </w:r>
      <w:r w:rsidRPr="00E9499D">
        <w:t xml:space="preserve"> </w:t>
      </w:r>
      <w:r w:rsidRPr="00E9499D">
        <w:rPr>
          <w:noProof/>
        </w:rPr>
        <w:t xml:space="preserve">Information technology and other equipment, systems, technologies, or processes, for which the principal function is the creation, manipulation, storage, display, receipt, or transmission of electronic data and information, as well as any </w:t>
      </w:r>
      <w:r w:rsidR="00395E2F" w:rsidRPr="00E9499D">
        <w:rPr>
          <w:noProof/>
        </w:rPr>
        <w:t>technology-based equipment</w:t>
      </w:r>
      <w:r w:rsidRPr="00E9499D">
        <w:rPr>
          <w:noProof/>
        </w:rPr>
        <w:t>.</w:t>
      </w:r>
      <w:r w:rsidR="00293DA3" w:rsidRPr="00E9499D">
        <w:rPr>
          <w:noProof/>
        </w:rPr>
        <w:t xml:space="preserve">  Information and Communication Technologies include but are not limited to: academic and administrative software applications; websites and web-based or mobile applications; interactive online services: web conferencing</w:t>
      </w:r>
      <w:r w:rsidR="004F1491">
        <w:rPr>
          <w:noProof/>
        </w:rPr>
        <w:t>, live-streaming</w:t>
      </w:r>
      <w:r w:rsidR="00293DA3" w:rsidRPr="00E9499D">
        <w:rPr>
          <w:noProof/>
        </w:rPr>
        <w:t>, live chat and discussion board functions; search engines and databases; electronic communications and electronic content: email, electronic documents, electronic books and electronic reading systems, course content, class assignments; library and course-related reference materials; multimedia (audio and video); personal response systems (“clickers”); telecommunications; audio and video technologies; and self-contained closed systems: ATMs, printers and copiers.</w:t>
      </w:r>
      <w:r w:rsidR="00293DA3" w:rsidRPr="00E9499D">
        <w:t xml:space="preserve"> </w:t>
      </w:r>
    </w:p>
    <w:p w14:paraId="53FCA01A" w14:textId="37E8059A" w:rsidR="00686340" w:rsidRDefault="008F0917" w:rsidP="002272DC">
      <w:pPr>
        <w:numPr>
          <w:ilvl w:val="0"/>
          <w:numId w:val="16"/>
        </w:numPr>
        <w:spacing w:before="100" w:beforeAutospacing="1" w:after="100" w:afterAutospacing="1"/>
        <w:ind w:left="1440"/>
      </w:pPr>
      <w:r w:rsidRPr="009A55CD">
        <w:rPr>
          <w:rStyle w:val="Strong"/>
          <w:bCs w:val="0"/>
          <w:i/>
        </w:rPr>
        <w:t xml:space="preserve">Information and Communication Technology </w:t>
      </w:r>
      <w:r w:rsidR="00686340" w:rsidRPr="009A55CD">
        <w:rPr>
          <w:b/>
          <w:i/>
        </w:rPr>
        <w:t xml:space="preserve">Accessibility </w:t>
      </w:r>
      <w:r w:rsidR="0063589E">
        <w:rPr>
          <w:b/>
          <w:i/>
        </w:rPr>
        <w:t>Compliance</w:t>
      </w:r>
      <w:r w:rsidR="00686340" w:rsidRPr="009A55CD">
        <w:rPr>
          <w:b/>
          <w:i/>
        </w:rPr>
        <w:t xml:space="preserve"> Committee</w:t>
      </w:r>
      <w:r w:rsidR="00686340" w:rsidRPr="00745DCF">
        <w:rPr>
          <w:b/>
        </w:rPr>
        <w:t>.</w:t>
      </w:r>
      <w:r w:rsidR="00686340">
        <w:t xml:space="preserve"> </w:t>
      </w:r>
      <w:r w:rsidR="009A7CFF" w:rsidRPr="00C64EE3">
        <w:t>This is the committee responsible for reviewing requested exceptions to this policy</w:t>
      </w:r>
      <w:r w:rsidR="009A7CFF">
        <w:t xml:space="preserve">. </w:t>
      </w:r>
      <w:r w:rsidR="00686340">
        <w:t xml:space="preserve">The </w:t>
      </w:r>
      <w:r>
        <w:rPr>
          <w:rStyle w:val="Strong"/>
          <w:b w:val="0"/>
          <w:bCs w:val="0"/>
        </w:rPr>
        <w:t xml:space="preserve">Information and Communication Technology </w:t>
      </w:r>
      <w:r w:rsidR="00686340">
        <w:t xml:space="preserve">Accessibility </w:t>
      </w:r>
      <w:r w:rsidR="00754791">
        <w:t>Compliance</w:t>
      </w:r>
      <w:r w:rsidR="00686340">
        <w:t xml:space="preserve"> Committee is </w:t>
      </w:r>
      <w:r w:rsidR="00B4122D">
        <w:t>co-</w:t>
      </w:r>
      <w:r w:rsidR="004331B6">
        <w:t>chaired</w:t>
      </w:r>
      <w:r w:rsidR="00686340">
        <w:t xml:space="preserve"> by the </w:t>
      </w:r>
      <w:r w:rsidR="00F778D5">
        <w:t xml:space="preserve">Vice President of Information Technology / </w:t>
      </w:r>
      <w:r w:rsidR="00686340">
        <w:t xml:space="preserve">Chief </w:t>
      </w:r>
      <w:r w:rsidR="00DF14E0">
        <w:t>Information</w:t>
      </w:r>
      <w:r w:rsidR="0063589E">
        <w:t xml:space="preserve"> Officer and </w:t>
      </w:r>
      <w:r w:rsidR="00513B9A">
        <w:t>the University’s ADA</w:t>
      </w:r>
      <w:r w:rsidR="004F1491">
        <w:t>/503/504</w:t>
      </w:r>
      <w:r w:rsidR="00513B9A">
        <w:t xml:space="preserve"> Coordinator</w:t>
      </w:r>
      <w:r w:rsidR="00B4122D">
        <w:t xml:space="preserve">. Membership </w:t>
      </w:r>
      <w:r w:rsidR="004F1491">
        <w:t xml:space="preserve">includes </w:t>
      </w:r>
      <w:r w:rsidR="004331B6">
        <w:t>faculty</w:t>
      </w:r>
      <w:r w:rsidR="00D806E8">
        <w:t xml:space="preserve"> and student</w:t>
      </w:r>
      <w:r w:rsidR="004331B6">
        <w:t xml:space="preserve"> </w:t>
      </w:r>
      <w:r w:rsidR="0063589E">
        <w:t>representation</w:t>
      </w:r>
      <w:r w:rsidR="00513B9A">
        <w:t xml:space="preserve"> </w:t>
      </w:r>
      <w:r w:rsidR="00D806E8">
        <w:t xml:space="preserve">schools and colleges </w:t>
      </w:r>
      <w:r w:rsidR="00513B9A">
        <w:t>and staff</w:t>
      </w:r>
      <w:r w:rsidR="0063589E">
        <w:t xml:space="preserve"> </w:t>
      </w:r>
      <w:r w:rsidR="004F1491">
        <w:t xml:space="preserve">representation </w:t>
      </w:r>
      <w:r w:rsidR="0063589E">
        <w:t xml:space="preserve">from </w:t>
      </w:r>
      <w:r>
        <w:t>Academic Affair</w:t>
      </w:r>
      <w:r w:rsidR="0063589E">
        <w:t xml:space="preserve">s, </w:t>
      </w:r>
      <w:r w:rsidR="004F1491">
        <w:t>Division of Enrollment and Student Experience</w:t>
      </w:r>
      <w:r w:rsidR="0063589E">
        <w:t xml:space="preserve">, </w:t>
      </w:r>
      <w:r w:rsidR="000B2EE8" w:rsidRPr="004856E2">
        <w:t>Equal Opportunity Inclusion and Resolution Services</w:t>
      </w:r>
      <w:r w:rsidR="000B2EE8">
        <w:t xml:space="preserve">, </w:t>
      </w:r>
      <w:r w:rsidR="0063589E">
        <w:t xml:space="preserve">Human Resources, </w:t>
      </w:r>
      <w:r w:rsidR="000B2EE8">
        <w:t xml:space="preserve">Information Technology Services, </w:t>
      </w:r>
      <w:r w:rsidR="00754791">
        <w:t xml:space="preserve">Office of Marketing and Communication, </w:t>
      </w:r>
      <w:r w:rsidR="000B2EE8">
        <w:t>Office of Disability Services,</w:t>
      </w:r>
      <w:r w:rsidR="000B2EE8" w:rsidRPr="0063589E">
        <w:t xml:space="preserve"> </w:t>
      </w:r>
      <w:r w:rsidR="0063589E">
        <w:t>Office of University Counsel, Purchasing Department, and SU Libraries.</w:t>
      </w:r>
      <w:r w:rsidR="004F1491">
        <w:t xml:space="preserve"> Others may be invited to serve </w:t>
      </w:r>
      <w:r w:rsidR="004F1491">
        <w:rPr>
          <w:i/>
        </w:rPr>
        <w:t xml:space="preserve">ex officio </w:t>
      </w:r>
      <w:r w:rsidR="004F1491">
        <w:t xml:space="preserve">by request and or recommendation, at the discretion of the Chief </w:t>
      </w:r>
      <w:r w:rsidR="00DF14E0">
        <w:t>Information</w:t>
      </w:r>
      <w:r w:rsidR="004F1491">
        <w:t xml:space="preserve"> Officer</w:t>
      </w:r>
      <w:r w:rsidR="00D81ACE">
        <w:t xml:space="preserve"> </w:t>
      </w:r>
      <w:r w:rsidR="004F1491">
        <w:t xml:space="preserve">in consultation with the Committee.  Communication regarding </w:t>
      </w:r>
      <w:r w:rsidR="004F1491">
        <w:rPr>
          <w:i/>
        </w:rPr>
        <w:t>ex officio</w:t>
      </w:r>
      <w:r w:rsidR="004F1491">
        <w:t xml:space="preserve"> requests or recommendations should be submitted directly to the Chief </w:t>
      </w:r>
      <w:r w:rsidR="00DF14E0">
        <w:t>Information</w:t>
      </w:r>
      <w:r w:rsidR="004F1491">
        <w:t xml:space="preserve"> Officer.</w:t>
      </w:r>
      <w:r w:rsidR="009A7CFF">
        <w:t xml:space="preserve"> </w:t>
      </w:r>
    </w:p>
    <w:p w14:paraId="1D96E103" w14:textId="1B6C736F" w:rsidR="005E64F5" w:rsidRPr="00511444" w:rsidRDefault="005E64F5" w:rsidP="00511444">
      <w:pPr>
        <w:numPr>
          <w:ilvl w:val="0"/>
          <w:numId w:val="16"/>
        </w:numPr>
        <w:spacing w:before="100" w:beforeAutospacing="1" w:after="100" w:afterAutospacing="1"/>
        <w:ind w:left="1440"/>
        <w:rPr>
          <w:rStyle w:val="Emphasis"/>
          <w:i w:val="0"/>
          <w:iCs w:val="0"/>
        </w:rPr>
      </w:pPr>
      <w:r w:rsidRPr="009A55CD">
        <w:rPr>
          <w:rStyle w:val="Strong"/>
          <w:bCs w:val="0"/>
          <w:i/>
        </w:rPr>
        <w:t xml:space="preserve">Information and Communication Technology </w:t>
      </w:r>
      <w:r w:rsidR="00A27F59">
        <w:rPr>
          <w:b/>
          <w:i/>
        </w:rPr>
        <w:t xml:space="preserve">Accessibility </w:t>
      </w:r>
      <w:r w:rsidR="0093145C">
        <w:rPr>
          <w:b/>
          <w:i/>
        </w:rPr>
        <w:t>Assessment</w:t>
      </w:r>
      <w:r w:rsidRPr="009A55CD">
        <w:rPr>
          <w:b/>
          <w:i/>
        </w:rPr>
        <w:t xml:space="preserve"> Committee</w:t>
      </w:r>
      <w:r w:rsidRPr="00745DCF">
        <w:rPr>
          <w:b/>
        </w:rPr>
        <w:t>.</w:t>
      </w:r>
      <w:r>
        <w:t xml:space="preserve"> </w:t>
      </w:r>
      <w:r w:rsidR="009A7CFF" w:rsidRPr="00C64EE3">
        <w:t>This is the committee that is responsible for reviewing new University-wide ICT purchases to ensure they comply with this policy</w:t>
      </w:r>
      <w:r w:rsidR="009A7CFF">
        <w:t xml:space="preserve">. </w:t>
      </w:r>
      <w:r>
        <w:t xml:space="preserve">The </w:t>
      </w:r>
      <w:r>
        <w:rPr>
          <w:rStyle w:val="Strong"/>
          <w:b w:val="0"/>
          <w:bCs w:val="0"/>
        </w:rPr>
        <w:t xml:space="preserve">Information and Communication Technology </w:t>
      </w:r>
      <w:r>
        <w:t xml:space="preserve">Accessibility </w:t>
      </w:r>
      <w:r w:rsidR="00F43055">
        <w:t>Assessment</w:t>
      </w:r>
      <w:r>
        <w:t xml:space="preserve"> Committee </w:t>
      </w:r>
      <w:r w:rsidR="00511444">
        <w:t xml:space="preserve">includes the University’s ADA/503/504 Coordinator, Director of the Office of Disability Services, Director of ICT Accessibility Services, and the </w:t>
      </w:r>
      <w:r w:rsidR="0093145C" w:rsidRPr="005B6606">
        <w:t>Associate Chief Informa</w:t>
      </w:r>
      <w:r w:rsidR="0093145C" w:rsidRPr="0093145C">
        <w:t xml:space="preserve">tion Officer, Academic Services, </w:t>
      </w:r>
      <w:r w:rsidR="0093145C" w:rsidRPr="005B6606">
        <w:t>ITS</w:t>
      </w:r>
      <w:r w:rsidR="00F778D5">
        <w:t>.</w:t>
      </w:r>
      <w:r w:rsidR="009A7CFF">
        <w:t xml:space="preserve"> </w:t>
      </w:r>
    </w:p>
    <w:p w14:paraId="4042E238" w14:textId="77777777" w:rsidR="008A69B3" w:rsidRPr="009A55CD" w:rsidRDefault="008A69B3" w:rsidP="002272DC">
      <w:pPr>
        <w:numPr>
          <w:ilvl w:val="0"/>
          <w:numId w:val="16"/>
        </w:numPr>
        <w:spacing w:before="100" w:beforeAutospacing="1" w:after="100" w:afterAutospacing="1"/>
        <w:ind w:left="1440"/>
      </w:pPr>
      <w:r w:rsidRPr="009A55CD">
        <w:rPr>
          <w:rStyle w:val="Emphasis"/>
          <w:b/>
          <w:bCs/>
        </w:rPr>
        <w:t xml:space="preserve">Information </w:t>
      </w:r>
      <w:r w:rsidR="00AE1E5B" w:rsidRPr="009A55CD">
        <w:rPr>
          <w:rStyle w:val="Emphasis"/>
          <w:b/>
          <w:bCs/>
        </w:rPr>
        <w:t>T</w:t>
      </w:r>
      <w:r w:rsidRPr="009A55CD">
        <w:rPr>
          <w:rStyle w:val="Emphasis"/>
          <w:b/>
          <w:bCs/>
        </w:rPr>
        <w:t>echnology.</w:t>
      </w:r>
      <w:r w:rsidRPr="009A55CD">
        <w:t xml:space="preserve">  </w:t>
      </w:r>
      <w:r w:rsidRPr="009A55CD">
        <w:rPr>
          <w:noProof/>
        </w:rPr>
        <w:t>Any equipment or interconnected system or subsystem of equipment, that is used in the automatic acquisition, storage, manipulation, management, movement, control, display, switching, interchange, transmission, or reception of data or information.</w:t>
      </w:r>
      <w:r w:rsidRPr="009A55CD">
        <w:t xml:space="preserve">  The term information technology includes computers, ancillary equipment, software, firmware and similar procedures, services (including support services), and related resources.</w:t>
      </w:r>
    </w:p>
    <w:p w14:paraId="60ED45AC" w14:textId="77777777" w:rsidR="00B27EA2" w:rsidRDefault="00B27EA2" w:rsidP="002272DC">
      <w:pPr>
        <w:numPr>
          <w:ilvl w:val="0"/>
          <w:numId w:val="16"/>
        </w:numPr>
        <w:spacing w:before="100" w:beforeAutospacing="1" w:after="100" w:afterAutospacing="1"/>
        <w:ind w:left="1440"/>
      </w:pPr>
      <w:r w:rsidRPr="009A55CD">
        <w:rPr>
          <w:rStyle w:val="Strong"/>
          <w:i/>
          <w:iCs/>
        </w:rPr>
        <w:t xml:space="preserve">Mobile </w:t>
      </w:r>
      <w:r w:rsidR="00AE1E5B" w:rsidRPr="009A55CD">
        <w:rPr>
          <w:rStyle w:val="Strong"/>
          <w:i/>
          <w:iCs/>
        </w:rPr>
        <w:t>A</w:t>
      </w:r>
      <w:r w:rsidR="00CC3CBF" w:rsidRPr="009A55CD">
        <w:rPr>
          <w:rStyle w:val="Strong"/>
          <w:i/>
          <w:iCs/>
        </w:rPr>
        <w:t>pplications</w:t>
      </w:r>
      <w:r w:rsidRPr="009A55CD">
        <w:rPr>
          <w:rStyle w:val="Strong"/>
          <w:i/>
          <w:iCs/>
        </w:rPr>
        <w:t>.</w:t>
      </w:r>
      <w:r w:rsidRPr="009A55CD">
        <w:rPr>
          <w:rStyle w:val="Strong"/>
        </w:rPr>
        <w:t>  </w:t>
      </w:r>
      <w:r w:rsidR="007A4BDD" w:rsidRPr="009A55CD">
        <w:t>Mobile web content, mobile web apps, native apps, and hybrid apps</w:t>
      </w:r>
      <w:r w:rsidR="007A4BDD" w:rsidRPr="009A55CD">
        <w:rPr>
          <w:rFonts w:ascii="Arial" w:hAnsi="Arial" w:cs="Arial"/>
          <w:sz w:val="27"/>
          <w:szCs w:val="27"/>
          <w:shd w:val="clear" w:color="auto" w:fill="FFFFFF"/>
        </w:rPr>
        <w:t xml:space="preserve"> </w:t>
      </w:r>
      <w:r w:rsidRPr="009A55CD">
        <w:t xml:space="preserve">developed for handheld devices such as smartphones, tablets, and more. </w:t>
      </w:r>
    </w:p>
    <w:p w14:paraId="0996D4B1" w14:textId="77777777" w:rsidR="00CC6423" w:rsidRPr="00CC6423" w:rsidRDefault="002C2176" w:rsidP="00CC6423">
      <w:pPr>
        <w:numPr>
          <w:ilvl w:val="0"/>
          <w:numId w:val="16"/>
        </w:numPr>
        <w:spacing w:beforeAutospacing="1" w:after="100" w:afterAutospacing="1"/>
        <w:ind w:left="1440"/>
        <w:rPr>
          <w:color w:val="000000"/>
        </w:rPr>
      </w:pPr>
      <w:r>
        <w:rPr>
          <w:b/>
          <w:i/>
          <w:color w:val="000000"/>
        </w:rPr>
        <w:t>Restricted Access to the T</w:t>
      </w:r>
      <w:r w:rsidR="00866F3A" w:rsidRPr="00CC6423">
        <w:rPr>
          <w:b/>
          <w:i/>
          <w:color w:val="000000"/>
        </w:rPr>
        <w:t>echnology</w:t>
      </w:r>
      <w:r w:rsidR="00CC6423" w:rsidRPr="00745DCF">
        <w:rPr>
          <w:b/>
          <w:color w:val="000000"/>
        </w:rPr>
        <w:t>.</w:t>
      </w:r>
      <w:r w:rsidR="00CC6423">
        <w:rPr>
          <w:color w:val="000000"/>
        </w:rPr>
        <w:t xml:space="preserve"> </w:t>
      </w:r>
      <w:r w:rsidR="00CC6423" w:rsidRPr="00CC6423">
        <w:rPr>
          <w:color w:val="000000"/>
        </w:rPr>
        <w:t>Products installed in locations with restricted access such as data centers, and which are not interacted with except during maintenance, are not required to be accessible</w:t>
      </w:r>
      <w:r>
        <w:rPr>
          <w:color w:val="000000"/>
        </w:rPr>
        <w:t>.</w:t>
      </w:r>
    </w:p>
    <w:p w14:paraId="7A6A51C7" w14:textId="77777777" w:rsidR="00A5315A" w:rsidRPr="009A55CD" w:rsidRDefault="00A5315A" w:rsidP="002272DC">
      <w:pPr>
        <w:numPr>
          <w:ilvl w:val="0"/>
          <w:numId w:val="16"/>
        </w:numPr>
        <w:spacing w:before="100" w:beforeAutospacing="1" w:after="100" w:afterAutospacing="1"/>
        <w:ind w:left="1440"/>
        <w:rPr>
          <w:rStyle w:val="Strong"/>
          <w:b w:val="0"/>
          <w:bCs w:val="0"/>
        </w:rPr>
      </w:pPr>
      <w:r w:rsidRPr="009A55CD">
        <w:rPr>
          <w:rStyle w:val="Strong"/>
          <w:bCs w:val="0"/>
          <w:i/>
        </w:rPr>
        <w:t>Standard.</w:t>
      </w:r>
      <w:r w:rsidRPr="009A55CD">
        <w:rPr>
          <w:rStyle w:val="Strong"/>
          <w:b w:val="0"/>
          <w:bCs w:val="0"/>
        </w:rPr>
        <w:t xml:space="preserve"> Electronic</w:t>
      </w:r>
      <w:r w:rsidR="00364454" w:rsidRPr="009A55CD">
        <w:rPr>
          <w:rStyle w:val="Strong"/>
          <w:b w:val="0"/>
          <w:bCs w:val="0"/>
        </w:rPr>
        <w:t xml:space="preserve"> and Information</w:t>
      </w:r>
      <w:r w:rsidRPr="009A55CD">
        <w:rPr>
          <w:rStyle w:val="Strong"/>
          <w:b w:val="0"/>
          <w:bCs w:val="0"/>
        </w:rPr>
        <w:t xml:space="preserve"> Technology Accessibility Standards as </w:t>
      </w:r>
      <w:r w:rsidRPr="009A55CD">
        <w:rPr>
          <w:rStyle w:val="Strong"/>
          <w:b w:val="0"/>
          <w:bCs w:val="0"/>
          <w:noProof/>
        </w:rPr>
        <w:t>set forth in</w:t>
      </w:r>
      <w:r w:rsidRPr="009A55CD">
        <w:rPr>
          <w:rStyle w:val="Strong"/>
          <w:b w:val="0"/>
          <w:bCs w:val="0"/>
        </w:rPr>
        <w:t xml:space="preserve"> Section 508 of the Rehabilitation Act of 1973</w:t>
      </w:r>
      <w:r w:rsidR="00DE7BAD">
        <w:rPr>
          <w:rStyle w:val="Strong"/>
          <w:b w:val="0"/>
          <w:bCs w:val="0"/>
        </w:rPr>
        <w:t xml:space="preserve"> and any subsequent changes provide</w:t>
      </w:r>
      <w:r w:rsidR="00DE7BAD" w:rsidRPr="009722E0">
        <w:rPr>
          <w:rStyle w:val="Strong"/>
          <w:b w:val="0"/>
          <w:bCs w:val="0"/>
        </w:rPr>
        <w:t xml:space="preserve"> a baseline for </w:t>
      </w:r>
      <w:r w:rsidR="00A968F1">
        <w:rPr>
          <w:rStyle w:val="Strong"/>
          <w:b w:val="0"/>
          <w:bCs w:val="0"/>
        </w:rPr>
        <w:t>Information and Communication Technology</w:t>
      </w:r>
      <w:r w:rsidR="00DE7BAD" w:rsidRPr="009722E0">
        <w:rPr>
          <w:rStyle w:val="Strong"/>
          <w:b w:val="0"/>
          <w:bCs w:val="0"/>
        </w:rPr>
        <w:t>.</w:t>
      </w:r>
    </w:p>
    <w:p w14:paraId="5BD04A6F" w14:textId="77777777" w:rsidR="00AE58F6" w:rsidRPr="009A55CD" w:rsidRDefault="008A69B3" w:rsidP="002272DC">
      <w:pPr>
        <w:numPr>
          <w:ilvl w:val="0"/>
          <w:numId w:val="16"/>
        </w:numPr>
        <w:spacing w:before="100" w:beforeAutospacing="1" w:after="100" w:afterAutospacing="1"/>
        <w:ind w:left="1440"/>
      </w:pPr>
      <w:r w:rsidRPr="009A55CD">
        <w:rPr>
          <w:rStyle w:val="Strong"/>
          <w:i/>
          <w:iCs/>
        </w:rPr>
        <w:t>Telecommunications</w:t>
      </w:r>
      <w:r w:rsidRPr="00745DCF">
        <w:rPr>
          <w:rStyle w:val="Emphasis"/>
          <w:b/>
        </w:rPr>
        <w:t>.</w:t>
      </w:r>
      <w:r w:rsidRPr="009A55CD">
        <w:t xml:space="preserve">  </w:t>
      </w:r>
      <w:r w:rsidRPr="009A55CD">
        <w:rPr>
          <w:noProof/>
        </w:rPr>
        <w:t xml:space="preserve">The transmission, between or among points specified by the user, of information of the user’s choosing, without change in the form or content of the information </w:t>
      </w:r>
      <w:r w:rsidR="004F1491">
        <w:rPr>
          <w:noProof/>
        </w:rPr>
        <w:t>when</w:t>
      </w:r>
      <w:r w:rsidR="004F1491" w:rsidRPr="009A55CD">
        <w:rPr>
          <w:noProof/>
        </w:rPr>
        <w:t xml:space="preserve"> </w:t>
      </w:r>
      <w:r w:rsidRPr="009A55CD">
        <w:rPr>
          <w:noProof/>
        </w:rPr>
        <w:t>sent and received.</w:t>
      </w:r>
    </w:p>
    <w:p w14:paraId="60C46A00" w14:textId="0ED9AAD4" w:rsidR="007B7B2A" w:rsidRPr="00745DCF" w:rsidRDefault="008A69B3">
      <w:pPr>
        <w:numPr>
          <w:ilvl w:val="0"/>
          <w:numId w:val="16"/>
        </w:numPr>
        <w:spacing w:before="100" w:beforeAutospacing="1" w:after="100" w:afterAutospacing="1"/>
        <w:ind w:left="1440"/>
        <w:rPr>
          <w:rFonts w:ascii="Courier New" w:hAnsi="Courier New" w:cs="Courier New"/>
          <w:color w:val="000000"/>
          <w:sz w:val="20"/>
          <w:szCs w:val="20"/>
        </w:rPr>
      </w:pPr>
      <w:r w:rsidRPr="00AE58F6">
        <w:rPr>
          <w:rStyle w:val="Strong"/>
          <w:i/>
          <w:iCs/>
        </w:rPr>
        <w:t xml:space="preserve">Undue </w:t>
      </w:r>
      <w:r w:rsidR="00AE1E5B" w:rsidRPr="00AE58F6">
        <w:rPr>
          <w:rStyle w:val="Strong"/>
          <w:i/>
          <w:iCs/>
        </w:rPr>
        <w:t>B</w:t>
      </w:r>
      <w:r w:rsidRPr="00AE58F6">
        <w:rPr>
          <w:rStyle w:val="Strong"/>
          <w:i/>
          <w:iCs/>
        </w:rPr>
        <w:t xml:space="preserve">urden.  </w:t>
      </w:r>
      <w:r w:rsidR="009112DD" w:rsidRPr="00AE58F6">
        <w:rPr>
          <w:rStyle w:val="Strong"/>
          <w:i/>
          <w:iCs/>
        </w:rPr>
        <w:t xml:space="preserve"> </w:t>
      </w:r>
      <w:r w:rsidR="003D1B4C" w:rsidRPr="009A55CD">
        <w:t>Where compliance is</w:t>
      </w:r>
      <w:r w:rsidR="006B73BF" w:rsidRPr="009A55CD">
        <w:t xml:space="preserve"> a</w:t>
      </w:r>
      <w:r w:rsidR="003D1B4C" w:rsidRPr="009A55CD">
        <w:t xml:space="preserve"> </w:t>
      </w:r>
      <w:r w:rsidR="006B73BF" w:rsidRPr="009A55CD">
        <w:t>financial hardship</w:t>
      </w:r>
      <w:r w:rsidR="00E82FFC" w:rsidRPr="009A55CD">
        <w:t>,</w:t>
      </w:r>
      <w:r w:rsidR="003D1B4C" w:rsidRPr="009A55CD">
        <w:t xml:space="preserve"> or</w:t>
      </w:r>
      <w:r w:rsidR="00050FB2" w:rsidRPr="009A55CD">
        <w:t xml:space="preserve"> </w:t>
      </w:r>
      <w:r w:rsidR="00E82FFC" w:rsidRPr="009A55CD">
        <w:t xml:space="preserve">is </w:t>
      </w:r>
      <w:r w:rsidR="00050FB2" w:rsidRPr="009A55CD">
        <w:t xml:space="preserve">significantly </w:t>
      </w:r>
      <w:r w:rsidR="003D1B4C" w:rsidRPr="009A55CD">
        <w:t xml:space="preserve">difficult in that it may require extraordinary measures due to the nature </w:t>
      </w:r>
      <w:r w:rsidR="00E82FFC" w:rsidRPr="009A55CD">
        <w:t xml:space="preserve">or intent </w:t>
      </w:r>
      <w:r w:rsidR="003D1B4C" w:rsidRPr="009A55CD">
        <w:t xml:space="preserve">of the </w:t>
      </w:r>
      <w:r w:rsidR="00A968F1">
        <w:t>Information and Communication Technology</w:t>
      </w:r>
      <w:r w:rsidR="006B73BF" w:rsidRPr="009A55CD">
        <w:t xml:space="preserve">. </w:t>
      </w:r>
      <w:r w:rsidR="00546E55">
        <w:t>I</w:t>
      </w:r>
      <w:r w:rsidR="00A92959">
        <w:t xml:space="preserve">f </w:t>
      </w:r>
      <w:r w:rsidR="00546E55">
        <w:t xml:space="preserve">compliance </w:t>
      </w:r>
      <w:r w:rsidR="00AE58F6" w:rsidRPr="00745DCF">
        <w:t xml:space="preserve">would result in such a </w:t>
      </w:r>
      <w:r w:rsidR="00B4122D">
        <w:t>hardship</w:t>
      </w:r>
      <w:r w:rsidR="00AE58F6" w:rsidRPr="00745DCF">
        <w:t xml:space="preserve">, the </w:t>
      </w:r>
      <w:r w:rsidR="00A92959">
        <w:t>University</w:t>
      </w:r>
      <w:r w:rsidR="00AE58F6" w:rsidRPr="00745DCF">
        <w:t xml:space="preserve"> </w:t>
      </w:r>
      <w:r w:rsidR="006D7723">
        <w:t>will make reasonable efforts to</w:t>
      </w:r>
      <w:r w:rsidR="006D7723" w:rsidRPr="00745DCF">
        <w:t xml:space="preserve"> </w:t>
      </w:r>
      <w:r w:rsidR="00D2287B">
        <w:t>provide access</w:t>
      </w:r>
      <w:r w:rsidR="00B4122D">
        <w:t xml:space="preserve"> </w:t>
      </w:r>
      <w:r w:rsidR="00D2287B">
        <w:t>through other means.</w:t>
      </w:r>
      <w:r w:rsidR="00AE58F6" w:rsidRPr="00745DCF">
        <w:t xml:space="preserve"> </w:t>
      </w:r>
      <w:r w:rsidR="00CE77DD">
        <w:t xml:space="preserve">Financial hardship </w:t>
      </w:r>
      <w:r w:rsidR="00CE77DD">
        <w:rPr>
          <w:noProof/>
        </w:rPr>
        <w:t>is determined</w:t>
      </w:r>
      <w:r w:rsidR="00CE77DD">
        <w:t xml:space="preserve"> within the context of the entire </w:t>
      </w:r>
      <w:r w:rsidR="008D03BD">
        <w:t>U</w:t>
      </w:r>
      <w:r w:rsidR="00CE77DD">
        <w:t>niversity budget.</w:t>
      </w:r>
    </w:p>
    <w:p w14:paraId="6A236E7E" w14:textId="77777777" w:rsidR="000D2E33" w:rsidRPr="00E9499D" w:rsidRDefault="008A69B3" w:rsidP="002272DC">
      <w:pPr>
        <w:numPr>
          <w:ilvl w:val="0"/>
          <w:numId w:val="16"/>
        </w:numPr>
        <w:spacing w:before="100" w:beforeAutospacing="1" w:after="100" w:afterAutospacing="1"/>
        <w:ind w:left="1440"/>
      </w:pPr>
      <w:r w:rsidRPr="009A55CD">
        <w:rPr>
          <w:rStyle w:val="Strong"/>
          <w:i/>
          <w:iCs/>
        </w:rPr>
        <w:t>University</w:t>
      </w:r>
      <w:r w:rsidR="006D0BF0" w:rsidRPr="00745DCF">
        <w:rPr>
          <w:rStyle w:val="Emphasis"/>
          <w:b/>
        </w:rPr>
        <w:t>.</w:t>
      </w:r>
      <w:r w:rsidRPr="009A55CD">
        <w:rPr>
          <w:rStyle w:val="Emphasis"/>
        </w:rPr>
        <w:t> </w:t>
      </w:r>
      <w:r w:rsidRPr="009A55CD">
        <w:t xml:space="preserve">Any campus, unit, program, association, or entity of Syracuse </w:t>
      </w:r>
      <w:r w:rsidRPr="00E9499D">
        <w:t>University.</w:t>
      </w:r>
    </w:p>
    <w:p w14:paraId="6C52D893" w14:textId="32CC67A7" w:rsidR="006D0BF0" w:rsidRPr="00E9499D" w:rsidRDefault="006D0BF0" w:rsidP="002272DC">
      <w:pPr>
        <w:numPr>
          <w:ilvl w:val="0"/>
          <w:numId w:val="16"/>
        </w:numPr>
        <w:spacing w:before="100" w:beforeAutospacing="1" w:after="100" w:afterAutospacing="1"/>
        <w:ind w:left="1440"/>
        <w:rPr>
          <w:rStyle w:val="Strong"/>
          <w:b w:val="0"/>
          <w:bCs w:val="0"/>
        </w:rPr>
      </w:pPr>
      <w:r w:rsidRPr="009A55CD">
        <w:rPr>
          <w:rStyle w:val="Strong"/>
          <w:i/>
          <w:iCs/>
        </w:rPr>
        <w:t>University</w:t>
      </w:r>
      <w:r w:rsidR="003141EE">
        <w:rPr>
          <w:rStyle w:val="Strong"/>
          <w:i/>
          <w:iCs/>
        </w:rPr>
        <w:t>-Wide</w:t>
      </w:r>
      <w:r w:rsidRPr="009A55CD">
        <w:rPr>
          <w:rStyle w:val="Strong"/>
          <w:i/>
          <w:iCs/>
        </w:rPr>
        <w:t xml:space="preserve"> Event. </w:t>
      </w:r>
      <w:r w:rsidRPr="009A55CD">
        <w:rPr>
          <w:rStyle w:val="Strong"/>
          <w:b w:val="0"/>
          <w:iCs/>
        </w:rPr>
        <w:t>A</w:t>
      </w:r>
      <w:r w:rsidRPr="00E9499D">
        <w:t xml:space="preserve">n event, other than academic classes scheduled as part of the curriculum, that is held in a University building or outdoor space on </w:t>
      </w:r>
      <w:r w:rsidR="004E34C8">
        <w:t>University owned or operated property</w:t>
      </w:r>
      <w:r w:rsidR="006C6E71">
        <w:t xml:space="preserve"> and that is open to the campus community</w:t>
      </w:r>
      <w:r w:rsidR="000B377F">
        <w:t>, including students, faculty, and staff</w:t>
      </w:r>
      <w:r w:rsidRPr="00E9499D">
        <w:t xml:space="preserve">. </w:t>
      </w:r>
      <w:r w:rsidR="00F52778">
        <w:t>University Event</w:t>
      </w:r>
      <w:r w:rsidR="00C9729D">
        <w:t>s</w:t>
      </w:r>
      <w:r w:rsidR="00F52778">
        <w:t xml:space="preserve"> </w:t>
      </w:r>
      <w:r w:rsidR="00C9729D">
        <w:t>may include</w:t>
      </w:r>
      <w:r w:rsidR="00F52778">
        <w:t xml:space="preserve"> conferences, seminars, commencement, public forums, training, concert</w:t>
      </w:r>
      <w:r w:rsidR="008D03BD">
        <w:t>s</w:t>
      </w:r>
      <w:r w:rsidR="00F52778">
        <w:t>, live theatre producti</w:t>
      </w:r>
      <w:r w:rsidR="00C9729D">
        <w:t>ons, live events with speakers</w:t>
      </w:r>
      <w:r w:rsidR="00F52778">
        <w:t xml:space="preserve">, and extracurricular </w:t>
      </w:r>
      <w:r w:rsidR="00B4122D">
        <w:t>and intra</w:t>
      </w:r>
      <w:r w:rsidR="00F52778">
        <w:t>mural activities.</w:t>
      </w:r>
      <w:r w:rsidR="00C9729D">
        <w:t xml:space="preserve"> </w:t>
      </w:r>
    </w:p>
    <w:p w14:paraId="414B6275" w14:textId="77777777" w:rsidR="00A05968" w:rsidRPr="009A55CD" w:rsidRDefault="008A69B3" w:rsidP="002272DC">
      <w:pPr>
        <w:numPr>
          <w:ilvl w:val="0"/>
          <w:numId w:val="16"/>
        </w:numPr>
        <w:spacing w:before="100" w:beforeAutospacing="1" w:after="100" w:afterAutospacing="1"/>
        <w:ind w:left="1440"/>
      </w:pPr>
      <w:r w:rsidRPr="009A55CD">
        <w:rPr>
          <w:rStyle w:val="Emphasis"/>
          <w:b/>
          <w:bCs/>
        </w:rPr>
        <w:t>Web-based Applications</w:t>
      </w:r>
      <w:r w:rsidRPr="009A55CD">
        <w:rPr>
          <w:rStyle w:val="Strong"/>
        </w:rPr>
        <w:t>.  </w:t>
      </w:r>
      <w:r w:rsidRPr="009A55CD">
        <w:t xml:space="preserve">Usually provided by </w:t>
      </w:r>
      <w:r w:rsidR="00A054CA">
        <w:t xml:space="preserve">self-hosted and </w:t>
      </w:r>
      <w:r w:rsidRPr="009A55CD">
        <w:t>third-party contracted services, web-based applications are any service</w:t>
      </w:r>
      <w:r w:rsidR="00C9729D">
        <w:t>s</w:t>
      </w:r>
      <w:r w:rsidRPr="009A55CD">
        <w:t xml:space="preserve"> that </w:t>
      </w:r>
      <w:r w:rsidR="00C9729D">
        <w:rPr>
          <w:noProof/>
        </w:rPr>
        <w:t>are</w:t>
      </w:r>
      <w:r w:rsidR="00C9729D" w:rsidRPr="009A55CD">
        <w:rPr>
          <w:noProof/>
        </w:rPr>
        <w:t xml:space="preserve"> </w:t>
      </w:r>
      <w:r w:rsidRPr="009A55CD">
        <w:rPr>
          <w:noProof/>
        </w:rPr>
        <w:t>provided</w:t>
      </w:r>
      <w:r w:rsidRPr="009A55CD">
        <w:t xml:space="preserve"> online</w:t>
      </w:r>
      <w:r w:rsidR="00A054CA">
        <w:t xml:space="preserve"> through a web-browser</w:t>
      </w:r>
      <w:r w:rsidRPr="009A55CD">
        <w:t>, but not specifically in a web page format. Examples include</w:t>
      </w:r>
      <w:r w:rsidR="00E6468D">
        <w:t xml:space="preserve">, but are not limited to </w:t>
      </w:r>
      <w:r w:rsidR="00D23DDE">
        <w:t xml:space="preserve">administrative portal, </w:t>
      </w:r>
      <w:r w:rsidR="00A054CA">
        <w:t>webmail</w:t>
      </w:r>
      <w:r w:rsidRPr="009A55CD">
        <w:t>,</w:t>
      </w:r>
      <w:r w:rsidR="00A054CA">
        <w:t xml:space="preserve"> </w:t>
      </w:r>
      <w:r w:rsidR="00D23DDE">
        <w:t>l</w:t>
      </w:r>
      <w:r w:rsidR="00A054CA">
        <w:t xml:space="preserve">earning </w:t>
      </w:r>
      <w:r w:rsidR="00D23DDE">
        <w:t>m</w:t>
      </w:r>
      <w:r w:rsidR="00A054CA">
        <w:t xml:space="preserve">anagement </w:t>
      </w:r>
      <w:r w:rsidR="00D23DDE">
        <w:t>s</w:t>
      </w:r>
      <w:r w:rsidR="00A054CA">
        <w:t>ystem</w:t>
      </w:r>
      <w:r w:rsidRPr="009A55CD">
        <w:t xml:space="preserve">, </w:t>
      </w:r>
      <w:r w:rsidR="00A054CA">
        <w:t xml:space="preserve">web-conferencing, </w:t>
      </w:r>
      <w:r w:rsidR="00D23DDE">
        <w:t>c</w:t>
      </w:r>
      <w:r w:rsidRPr="009A55CD">
        <w:t xml:space="preserve">ourse </w:t>
      </w:r>
      <w:r w:rsidR="00D23DDE">
        <w:t>c</w:t>
      </w:r>
      <w:r w:rsidRPr="009A55CD">
        <w:t>atalog</w:t>
      </w:r>
      <w:r w:rsidR="00D65D9F">
        <w:t>, student advising</w:t>
      </w:r>
      <w:r w:rsidR="00D23DDE">
        <w:t>,</w:t>
      </w:r>
      <w:r w:rsidRPr="009A55CD">
        <w:t xml:space="preserve"> and </w:t>
      </w:r>
      <w:r w:rsidR="00D23DDE">
        <w:t>d</w:t>
      </w:r>
      <w:r w:rsidRPr="009A55CD">
        <w:t xml:space="preserve">ata </w:t>
      </w:r>
      <w:r w:rsidR="00D23DDE">
        <w:t>w</w:t>
      </w:r>
      <w:r w:rsidRPr="009A55CD">
        <w:t>arehouse.</w:t>
      </w:r>
    </w:p>
    <w:p w14:paraId="040D0171" w14:textId="77777777" w:rsidR="008A69B3" w:rsidRPr="009A55CD" w:rsidRDefault="008A69B3" w:rsidP="002272DC">
      <w:pPr>
        <w:numPr>
          <w:ilvl w:val="0"/>
          <w:numId w:val="16"/>
        </w:numPr>
        <w:spacing w:before="100" w:beforeAutospacing="1" w:after="100" w:afterAutospacing="1"/>
        <w:ind w:left="1440"/>
      </w:pPr>
      <w:r w:rsidRPr="009A55CD">
        <w:rPr>
          <w:rStyle w:val="Strong"/>
          <w:i/>
          <w:iCs/>
        </w:rPr>
        <w:t>Web Page</w:t>
      </w:r>
      <w:r w:rsidRPr="00745DCF">
        <w:rPr>
          <w:rStyle w:val="Emphasis"/>
          <w:b/>
        </w:rPr>
        <w:t>.</w:t>
      </w:r>
      <w:r w:rsidRPr="009A55CD">
        <w:rPr>
          <w:rStyle w:val="Strong"/>
        </w:rPr>
        <w:t>  </w:t>
      </w:r>
      <w:r w:rsidRPr="009A55CD">
        <w:rPr>
          <w:noProof/>
        </w:rPr>
        <w:t xml:space="preserve">A single </w:t>
      </w:r>
      <w:r w:rsidR="00290EC2" w:rsidRPr="009A55CD">
        <w:rPr>
          <w:noProof/>
        </w:rPr>
        <w:t>Internet</w:t>
      </w:r>
      <w:r w:rsidRPr="009A55CD">
        <w:rPr>
          <w:noProof/>
        </w:rPr>
        <w:t xml:space="preserve"> address (aka URL) that contains content that must be viewed</w:t>
      </w:r>
      <w:r w:rsidR="00A054CA">
        <w:rPr>
          <w:noProof/>
        </w:rPr>
        <w:t xml:space="preserve"> or otherwise encou</w:t>
      </w:r>
      <w:r w:rsidR="008D03BD">
        <w:rPr>
          <w:noProof/>
        </w:rPr>
        <w:t>n</w:t>
      </w:r>
      <w:r w:rsidR="00A054CA">
        <w:rPr>
          <w:noProof/>
        </w:rPr>
        <w:t xml:space="preserve">tered by using </w:t>
      </w:r>
      <w:r w:rsidRPr="009A55CD">
        <w:rPr>
          <w:noProof/>
        </w:rPr>
        <w:t>a web browser</w:t>
      </w:r>
      <w:r w:rsidRPr="009A55CD">
        <w:t>. Usually, multiple web pages are linked to define a website.</w:t>
      </w:r>
    </w:p>
    <w:p w14:paraId="01FD04DA" w14:textId="77777777" w:rsidR="007E62BD" w:rsidRDefault="008A69B3" w:rsidP="002272DC">
      <w:pPr>
        <w:numPr>
          <w:ilvl w:val="0"/>
          <w:numId w:val="16"/>
        </w:numPr>
        <w:spacing w:before="100" w:beforeAutospacing="1" w:after="100" w:afterAutospacing="1"/>
        <w:ind w:left="1440"/>
      </w:pPr>
      <w:r w:rsidRPr="009A55CD">
        <w:rPr>
          <w:rStyle w:val="Strong"/>
          <w:i/>
          <w:iCs/>
        </w:rPr>
        <w:t>Website</w:t>
      </w:r>
      <w:r w:rsidRPr="00745DCF">
        <w:rPr>
          <w:rStyle w:val="Emphasis"/>
          <w:b/>
        </w:rPr>
        <w:t>.</w:t>
      </w:r>
      <w:r w:rsidRPr="009A55CD">
        <w:rPr>
          <w:rStyle w:val="Strong"/>
        </w:rPr>
        <w:t>  </w:t>
      </w:r>
      <w:r w:rsidRPr="009A55CD">
        <w:t xml:space="preserve">A group of connected web pages regarded as a single </w:t>
      </w:r>
      <w:r w:rsidRPr="009A55CD">
        <w:rPr>
          <w:noProof/>
        </w:rPr>
        <w:t>entity,</w:t>
      </w:r>
      <w:r w:rsidRPr="009A55CD">
        <w:t xml:space="preserve"> or several closely related </w:t>
      </w:r>
      <w:r w:rsidR="00A054CA" w:rsidRPr="009A55CD">
        <w:t>themes</w:t>
      </w:r>
      <w:r w:rsidRPr="009A55CD">
        <w:t xml:space="preserve">, such as a college, department or office website. </w:t>
      </w:r>
      <w:r w:rsidRPr="009A55CD">
        <w:rPr>
          <w:noProof/>
        </w:rPr>
        <w:t>A website</w:t>
      </w:r>
      <w:r w:rsidRPr="009A55CD">
        <w:t xml:space="preserve"> usually consists of a home page</w:t>
      </w:r>
      <w:r w:rsidR="00DC1D72" w:rsidRPr="009A55CD">
        <w:t xml:space="preserve"> and related sub-pages.</w:t>
      </w:r>
    </w:p>
    <w:p w14:paraId="62AFC688" w14:textId="77777777" w:rsidR="00A0128E" w:rsidRPr="00BE13D0" w:rsidRDefault="00F522DA" w:rsidP="002272DC">
      <w:pPr>
        <w:pStyle w:val="Heading2"/>
        <w:numPr>
          <w:ilvl w:val="0"/>
          <w:numId w:val="8"/>
        </w:numPr>
      </w:pPr>
      <w:r w:rsidRPr="00BE13D0">
        <w:t>Policy Review</w:t>
      </w:r>
    </w:p>
    <w:p w14:paraId="0C60371D" w14:textId="77777777" w:rsidR="00F522DA" w:rsidRPr="00DC2C1A" w:rsidRDefault="00F522DA" w:rsidP="00DC2C1A">
      <w:pPr>
        <w:pStyle w:val="NormalWeb"/>
        <w:spacing w:before="120" w:beforeAutospacing="0"/>
        <w:ind w:left="1080"/>
        <w:jc w:val="both"/>
      </w:pPr>
      <w:r w:rsidRPr="00DC2C1A">
        <w:t>The Office of the Vice President for Information Technology /</w:t>
      </w:r>
      <w:r w:rsidR="00221437">
        <w:t xml:space="preserve"> Chief Information Officer</w:t>
      </w:r>
      <w:r w:rsidR="00221437" w:rsidRPr="00DC2C1A">
        <w:t xml:space="preserve"> </w:t>
      </w:r>
      <w:r w:rsidRPr="00DC2C1A">
        <w:t xml:space="preserve">will initiate a review of and make necessary revisions to this policy at least once every two years with the input of a review group. The review group will include, but not </w:t>
      </w:r>
      <w:r w:rsidRPr="00290EC2">
        <w:rPr>
          <w:noProof/>
        </w:rPr>
        <w:t>be limited</w:t>
      </w:r>
      <w:r w:rsidRPr="00DC2C1A">
        <w:t xml:space="preserve"> to </w:t>
      </w:r>
      <w:r w:rsidR="000E7E54">
        <w:t xml:space="preserve">the </w:t>
      </w:r>
      <w:r w:rsidR="00B82B47">
        <w:t xml:space="preserve">members of the </w:t>
      </w:r>
      <w:r w:rsidR="000E7E54">
        <w:t>Information and Communication Technology Compliance Committee</w:t>
      </w:r>
      <w:r w:rsidRPr="00DC2C1A">
        <w:t>.</w:t>
      </w:r>
    </w:p>
    <w:p w14:paraId="622F06A2" w14:textId="77777777" w:rsidR="004644DF" w:rsidRPr="004723FE" w:rsidRDefault="004644DF" w:rsidP="002272DC">
      <w:pPr>
        <w:pStyle w:val="Heading2"/>
        <w:numPr>
          <w:ilvl w:val="0"/>
          <w:numId w:val="8"/>
        </w:numPr>
      </w:pPr>
      <w:r>
        <w:t>Other Related Policies and Documents</w:t>
      </w:r>
    </w:p>
    <w:p w14:paraId="411E7069" w14:textId="77777777" w:rsidR="0088306A" w:rsidRPr="00221396" w:rsidRDefault="00C10003" w:rsidP="00DC2C1A">
      <w:pPr>
        <w:spacing w:before="120"/>
        <w:ind w:left="1080"/>
        <w:rPr>
          <w:rStyle w:val="Strong"/>
          <w:rFonts w:eastAsiaTheme="majorEastAsia"/>
          <w:b w:val="0"/>
          <w:bCs w:val="0"/>
        </w:rPr>
      </w:pPr>
      <w:r w:rsidRPr="00221396">
        <w:rPr>
          <w:rStyle w:val="Strong"/>
          <w:rFonts w:eastAsiaTheme="majorEastAsia"/>
          <w:b w:val="0"/>
          <w:bCs w:val="0"/>
        </w:rPr>
        <w:t>Federal and State Regulatory Requirements</w:t>
      </w:r>
      <w:r w:rsidR="00471ECA" w:rsidRPr="00221396">
        <w:rPr>
          <w:rStyle w:val="Strong"/>
          <w:rFonts w:eastAsiaTheme="majorEastAsia"/>
          <w:b w:val="0"/>
          <w:bCs w:val="0"/>
        </w:rPr>
        <w:t xml:space="preserve"> </w:t>
      </w:r>
    </w:p>
    <w:p w14:paraId="47CB33C7" w14:textId="77777777" w:rsidR="00471ECA" w:rsidRDefault="003842C0" w:rsidP="008819CB">
      <w:pPr>
        <w:pStyle w:val="ListParagraph"/>
        <w:numPr>
          <w:ilvl w:val="1"/>
          <w:numId w:val="9"/>
        </w:numPr>
        <w:tabs>
          <w:tab w:val="left" w:pos="1800"/>
        </w:tabs>
        <w:ind w:firstLine="0"/>
      </w:pPr>
      <w:hyperlink r:id="rId18" w:history="1">
        <w:r w:rsidR="00471ECA" w:rsidRPr="000F1661">
          <w:rPr>
            <w:rStyle w:val="Hyperlink"/>
          </w:rPr>
          <w:t>Americans with Disabilities Act as amended</w:t>
        </w:r>
      </w:hyperlink>
      <w:r w:rsidR="00830215">
        <w:t xml:space="preserve"> (ADA</w:t>
      </w:r>
      <w:r w:rsidR="00C159D8">
        <w:t>A</w:t>
      </w:r>
      <w:r w:rsidR="00830215">
        <w:t>A)</w:t>
      </w:r>
    </w:p>
    <w:p w14:paraId="598E25A5" w14:textId="77777777" w:rsidR="00471ECA" w:rsidRPr="00D81ACE" w:rsidRDefault="003842C0" w:rsidP="008819CB">
      <w:pPr>
        <w:pStyle w:val="ListParagraph"/>
        <w:numPr>
          <w:ilvl w:val="1"/>
          <w:numId w:val="9"/>
        </w:numPr>
        <w:tabs>
          <w:tab w:val="left" w:pos="1800"/>
        </w:tabs>
        <w:ind w:firstLine="0"/>
        <w:rPr>
          <w:rStyle w:val="Hyperlink"/>
          <w:color w:val="auto"/>
          <w:u w:val="none"/>
        </w:rPr>
      </w:pPr>
      <w:hyperlink r:id="rId19" w:history="1">
        <w:r w:rsidR="00471ECA" w:rsidRPr="00625B3A">
          <w:rPr>
            <w:rStyle w:val="Hyperlink"/>
          </w:rPr>
          <w:t>The Rehabilitation Act of 1973, Section 504</w:t>
        </w:r>
      </w:hyperlink>
    </w:p>
    <w:p w14:paraId="3D47084D" w14:textId="77777777" w:rsidR="000555F8" w:rsidRDefault="003842C0" w:rsidP="008819CB">
      <w:pPr>
        <w:pStyle w:val="ListParagraph"/>
        <w:numPr>
          <w:ilvl w:val="1"/>
          <w:numId w:val="9"/>
        </w:numPr>
        <w:tabs>
          <w:tab w:val="left" w:pos="1800"/>
        </w:tabs>
        <w:ind w:firstLine="0"/>
      </w:pPr>
      <w:hyperlink r:id="rId20" w:history="1">
        <w:r w:rsidR="000555F8" w:rsidRPr="000555F8">
          <w:rPr>
            <w:rStyle w:val="Hyperlink"/>
          </w:rPr>
          <w:t>The Rehabilitation Act of 1973, Section 508</w:t>
        </w:r>
      </w:hyperlink>
    </w:p>
    <w:p w14:paraId="6916583F" w14:textId="77777777" w:rsidR="00471ECA" w:rsidRDefault="003842C0" w:rsidP="008819CB">
      <w:pPr>
        <w:pStyle w:val="ListParagraph"/>
        <w:numPr>
          <w:ilvl w:val="1"/>
          <w:numId w:val="9"/>
        </w:numPr>
        <w:tabs>
          <w:tab w:val="left" w:pos="1800"/>
        </w:tabs>
        <w:ind w:firstLine="0"/>
      </w:pPr>
      <w:hyperlink r:id="rId21" w:history="1">
        <w:r w:rsidR="00471ECA" w:rsidRPr="00273800">
          <w:rPr>
            <w:rStyle w:val="Hyperlink"/>
          </w:rPr>
          <w:t xml:space="preserve">New York State </w:t>
        </w:r>
        <w:r w:rsidR="00471ECA" w:rsidRPr="00221396">
          <w:rPr>
            <w:rStyle w:val="Hyperlink"/>
          </w:rPr>
          <w:t>Human Rights Law</w:t>
        </w:r>
      </w:hyperlink>
    </w:p>
    <w:p w14:paraId="194466C5" w14:textId="77777777" w:rsidR="00471ECA" w:rsidRPr="00221396" w:rsidRDefault="00471ECA" w:rsidP="00221396">
      <w:pPr>
        <w:ind w:left="1080"/>
        <w:rPr>
          <w:rFonts w:eastAsiaTheme="majorEastAsia"/>
        </w:rPr>
      </w:pPr>
      <w:r w:rsidRPr="00221396">
        <w:rPr>
          <w:rStyle w:val="Strong"/>
          <w:rFonts w:eastAsiaTheme="majorEastAsia"/>
          <w:b w:val="0"/>
          <w:bCs w:val="0"/>
        </w:rPr>
        <w:t>Syracuse</w:t>
      </w:r>
      <w:r w:rsidRPr="00221396">
        <w:rPr>
          <w:rFonts w:eastAsiaTheme="majorEastAsia"/>
        </w:rPr>
        <w:t xml:space="preserve"> University Policies</w:t>
      </w:r>
    </w:p>
    <w:p w14:paraId="70274D09" w14:textId="77777777" w:rsidR="00471ECA" w:rsidRPr="00221396" w:rsidRDefault="003842C0" w:rsidP="008819CB">
      <w:pPr>
        <w:pStyle w:val="ListParagraph"/>
        <w:numPr>
          <w:ilvl w:val="1"/>
          <w:numId w:val="9"/>
        </w:numPr>
        <w:ind w:left="1800"/>
        <w:rPr>
          <w:rStyle w:val="Strong"/>
          <w:b w:val="0"/>
          <w:bCs w:val="0"/>
        </w:rPr>
      </w:pPr>
      <w:hyperlink r:id="rId22" w:history="1">
        <w:r w:rsidR="00471ECA" w:rsidRPr="00A00738">
          <w:rPr>
            <w:rStyle w:val="Hyperlink"/>
            <w:bdr w:val="none" w:sz="0" w:space="0" w:color="auto" w:frame="1"/>
          </w:rPr>
          <w:t>Syracuse University’s Non-Discrimination on the Basis of Disability Policy</w:t>
        </w:r>
      </w:hyperlink>
    </w:p>
    <w:p w14:paraId="2EC33853" w14:textId="77777777" w:rsidR="00471ECA" w:rsidRDefault="003842C0" w:rsidP="008819CB">
      <w:pPr>
        <w:pStyle w:val="NormalWeb"/>
        <w:numPr>
          <w:ilvl w:val="1"/>
          <w:numId w:val="9"/>
        </w:numPr>
        <w:shd w:val="clear" w:color="auto" w:fill="FFFFFF"/>
        <w:spacing w:before="0" w:beforeAutospacing="0" w:after="0" w:afterAutospacing="0" w:line="240" w:lineRule="atLeast"/>
        <w:ind w:left="1800"/>
        <w:textAlignment w:val="baseline"/>
        <w:rPr>
          <w:rStyle w:val="Strong"/>
          <w:color w:val="000000"/>
          <w:bdr w:val="none" w:sz="0" w:space="0" w:color="auto" w:frame="1"/>
        </w:rPr>
      </w:pPr>
      <w:hyperlink r:id="rId23" w:history="1">
        <w:r w:rsidR="00471ECA" w:rsidRPr="005811E6">
          <w:rPr>
            <w:rStyle w:val="Hyperlink"/>
            <w:bdr w:val="none" w:sz="0" w:space="0" w:color="auto" w:frame="1"/>
          </w:rPr>
          <w:t>Syracuse University’s Non-Discrimination and Equal Opportunity Policy</w:t>
        </w:r>
      </w:hyperlink>
      <w:r w:rsidR="00471ECA">
        <w:rPr>
          <w:rStyle w:val="Strong"/>
          <w:color w:val="000000"/>
          <w:bdr w:val="none" w:sz="0" w:space="0" w:color="auto" w:frame="1"/>
        </w:rPr>
        <w:t xml:space="preserve"> </w:t>
      </w:r>
    </w:p>
    <w:p w14:paraId="12548AEB" w14:textId="77777777" w:rsidR="00A054CA" w:rsidRPr="00745DCF" w:rsidRDefault="00A054CA" w:rsidP="00745DCF">
      <w:pPr>
        <w:ind w:left="1080"/>
        <w:rPr>
          <w:rStyle w:val="Strong"/>
          <w:rFonts w:eastAsiaTheme="majorEastAsia"/>
          <w:b w:val="0"/>
          <w:bCs w:val="0"/>
        </w:rPr>
      </w:pPr>
      <w:r>
        <w:rPr>
          <w:rStyle w:val="Strong"/>
          <w:rFonts w:eastAsiaTheme="majorEastAsia"/>
          <w:b w:val="0"/>
          <w:bCs w:val="0"/>
        </w:rPr>
        <w:t>Additional</w:t>
      </w:r>
      <w:r w:rsidRPr="00745DCF">
        <w:rPr>
          <w:rStyle w:val="Strong"/>
          <w:rFonts w:eastAsiaTheme="majorEastAsia"/>
          <w:b w:val="0"/>
          <w:bCs w:val="0"/>
        </w:rPr>
        <w:t xml:space="preserve"> Documents</w:t>
      </w:r>
    </w:p>
    <w:p w14:paraId="506206C7" w14:textId="77777777" w:rsidR="00C05B5B" w:rsidRPr="00745DCF" w:rsidRDefault="00C05B5B" w:rsidP="00745DCF">
      <w:pPr>
        <w:pStyle w:val="ListParagraph"/>
        <w:numPr>
          <w:ilvl w:val="1"/>
          <w:numId w:val="9"/>
        </w:numPr>
        <w:ind w:left="1800"/>
        <w:rPr>
          <w:rStyle w:val="Hyperlink"/>
          <w:bdr w:val="none" w:sz="0" w:space="0" w:color="auto" w:frame="1"/>
        </w:rPr>
      </w:pPr>
      <w:r w:rsidRPr="00745DCF">
        <w:rPr>
          <w:rStyle w:val="Hyperlink"/>
          <w:bdr w:val="none" w:sz="0" w:space="0" w:color="auto" w:frame="1"/>
        </w:rPr>
        <w:t xml:space="preserve">NACUA Notes: </w:t>
      </w:r>
      <w:hyperlink r:id="rId24" w:history="1">
        <w:r w:rsidRPr="00745DCF">
          <w:rPr>
            <w:rStyle w:val="Hyperlink"/>
            <w:bdr w:val="none" w:sz="0" w:space="0" w:color="auto" w:frame="1"/>
          </w:rPr>
          <w:t>Building An Accessible Digital World: The Obligation To Make Electronic Resources Accessible</w:t>
        </w:r>
      </w:hyperlink>
    </w:p>
    <w:p w14:paraId="5BAADCFA" w14:textId="77777777" w:rsidR="00A8689F" w:rsidRDefault="00C05B5B" w:rsidP="00745DCF">
      <w:pPr>
        <w:pStyle w:val="ListParagraph"/>
        <w:numPr>
          <w:ilvl w:val="1"/>
          <w:numId w:val="9"/>
        </w:numPr>
        <w:ind w:left="1800"/>
        <w:rPr>
          <w:rStyle w:val="Hyperlink"/>
          <w:bdr w:val="none" w:sz="0" w:space="0" w:color="auto" w:frame="1"/>
        </w:rPr>
      </w:pPr>
      <w:r w:rsidRPr="00745DCF">
        <w:rPr>
          <w:rStyle w:val="Hyperlink"/>
          <w:bdr w:val="none" w:sz="0" w:space="0" w:color="auto" w:frame="1"/>
        </w:rPr>
        <w:t xml:space="preserve">EDUCAUSE: </w:t>
      </w:r>
      <w:hyperlink r:id="rId25" w:history="1">
        <w:r w:rsidRPr="00745DCF">
          <w:rPr>
            <w:rStyle w:val="Hyperlink"/>
            <w:bdr w:val="none" w:sz="0" w:space="0" w:color="auto" w:frame="1"/>
          </w:rPr>
          <w:t>IT Accessibility Risk Statements and Evidence</w:t>
        </w:r>
      </w:hyperlink>
    </w:p>
    <w:p w14:paraId="44EC571C" w14:textId="77777777" w:rsidR="00EF26D3" w:rsidRPr="00EF26D3" w:rsidRDefault="00EF26D3" w:rsidP="00EF26D3">
      <w:pPr>
        <w:spacing w:before="4000"/>
        <w:rPr>
          <w:rStyle w:val="Hyperlink"/>
          <w:color w:val="auto"/>
          <w:u w:val="none"/>
          <w:bdr w:val="none" w:sz="0" w:space="0" w:color="auto" w:frame="1"/>
        </w:rPr>
      </w:pPr>
      <w:r w:rsidRPr="00EF26D3">
        <w:rPr>
          <w:rStyle w:val="Hyperlink"/>
          <w:color w:val="auto"/>
          <w:u w:val="none"/>
          <w:bdr w:val="none" w:sz="0" w:space="0" w:color="auto" w:frame="1"/>
        </w:rPr>
        <w:t xml:space="preserve">v. </w:t>
      </w:r>
      <w:r>
        <w:rPr>
          <w:rStyle w:val="Hyperlink"/>
          <w:color w:val="auto"/>
          <w:u w:val="none"/>
          <w:bdr w:val="none" w:sz="0" w:space="0" w:color="auto" w:frame="1"/>
        </w:rPr>
        <w:t>ICTAP_</w:t>
      </w:r>
      <w:r w:rsidRPr="00EF26D3">
        <w:rPr>
          <w:rStyle w:val="Hyperlink"/>
          <w:color w:val="auto"/>
          <w:u w:val="none"/>
          <w:bdr w:val="none" w:sz="0" w:space="0" w:color="auto" w:frame="1"/>
        </w:rPr>
        <w:t>11.18</w:t>
      </w:r>
    </w:p>
    <w:sectPr w:rsidR="00EF26D3" w:rsidRPr="00EF26D3" w:rsidSect="002A54BF">
      <w:foot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F617" w14:textId="77777777" w:rsidR="006C05D0" w:rsidRDefault="006C05D0">
      <w:r>
        <w:separator/>
      </w:r>
    </w:p>
  </w:endnote>
  <w:endnote w:type="continuationSeparator" w:id="0">
    <w:p w14:paraId="5E12AE49" w14:textId="77777777" w:rsidR="006C05D0" w:rsidRDefault="006C05D0">
      <w:r>
        <w:continuationSeparator/>
      </w:r>
    </w:p>
  </w:endnote>
  <w:endnote w:type="continuationNotice" w:id="1">
    <w:p w14:paraId="776DC8F8" w14:textId="77777777" w:rsidR="006C05D0" w:rsidRDefault="006C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BD9AA" w14:textId="5CE3D743" w:rsidR="00EE5BA0" w:rsidRPr="00043869" w:rsidRDefault="00EE5BA0" w:rsidP="00130C28">
    <w:pPr>
      <w:pStyle w:val="Footer"/>
      <w:jc w:val="right"/>
    </w:pPr>
    <w:r w:rsidRPr="00043869">
      <w:t xml:space="preserve">Page </w:t>
    </w:r>
    <w:r w:rsidRPr="00043869">
      <w:rPr>
        <w:rStyle w:val="PageNumber"/>
      </w:rPr>
      <w:fldChar w:fldCharType="begin"/>
    </w:r>
    <w:r w:rsidRPr="00043869">
      <w:rPr>
        <w:rStyle w:val="PageNumber"/>
      </w:rPr>
      <w:instrText xml:space="preserve"> PAGE </w:instrText>
    </w:r>
    <w:r w:rsidRPr="00043869">
      <w:rPr>
        <w:rStyle w:val="PageNumber"/>
      </w:rPr>
      <w:fldChar w:fldCharType="separate"/>
    </w:r>
    <w:r w:rsidR="003842C0">
      <w:rPr>
        <w:rStyle w:val="PageNumber"/>
        <w:noProof/>
      </w:rPr>
      <w:t>1</w:t>
    </w:r>
    <w:r w:rsidRPr="0004386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7CC5" w14:textId="77777777" w:rsidR="006C05D0" w:rsidRDefault="006C05D0">
      <w:r>
        <w:separator/>
      </w:r>
    </w:p>
  </w:footnote>
  <w:footnote w:type="continuationSeparator" w:id="0">
    <w:p w14:paraId="298F8496" w14:textId="77777777" w:rsidR="006C05D0" w:rsidRDefault="006C05D0">
      <w:r>
        <w:continuationSeparator/>
      </w:r>
    </w:p>
  </w:footnote>
  <w:footnote w:type="continuationNotice" w:id="1">
    <w:p w14:paraId="47A39563" w14:textId="77777777" w:rsidR="006C05D0" w:rsidRDefault="006C05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B83"/>
    <w:multiLevelType w:val="multilevel"/>
    <w:tmpl w:val="AAF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9243C"/>
    <w:multiLevelType w:val="hybridMultilevel"/>
    <w:tmpl w:val="C41632CE"/>
    <w:lvl w:ilvl="0" w:tplc="8386123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A1E98"/>
    <w:multiLevelType w:val="hybridMultilevel"/>
    <w:tmpl w:val="E620E1AE"/>
    <w:lvl w:ilvl="0" w:tplc="5A88A368">
      <w:numFmt w:val="bullet"/>
      <w:lvlText w:val="-"/>
      <w:lvlJc w:val="left"/>
      <w:pPr>
        <w:ind w:left="3000" w:hanging="360"/>
      </w:pPr>
      <w:rPr>
        <w:rFonts w:ascii="Times New Roman" w:eastAsia="Times New Roman" w:hAnsi="Times New Roman" w:cs="Times New Roman" w:hint="default"/>
        <w:b w:val="0"/>
        <w:color w:val="0000FF"/>
        <w:u w:val="single"/>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5A88A368">
      <w:numFmt w:val="bullet"/>
      <w:lvlText w:val="-"/>
      <w:lvlJc w:val="left"/>
      <w:pPr>
        <w:ind w:left="4380" w:hanging="360"/>
      </w:pPr>
      <w:rPr>
        <w:rFonts w:ascii="Times New Roman" w:eastAsia="Times New Roman" w:hAnsi="Times New Roman" w:cs="Times New Roman" w:hint="default"/>
        <w:b w:val="0"/>
        <w:color w:val="0000FF"/>
        <w:u w:val="single"/>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3485A61"/>
    <w:multiLevelType w:val="hybridMultilevel"/>
    <w:tmpl w:val="C2C2209A"/>
    <w:lvl w:ilvl="0" w:tplc="A072B6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E080A"/>
    <w:multiLevelType w:val="hybridMultilevel"/>
    <w:tmpl w:val="2AB24A3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EB424E2"/>
    <w:multiLevelType w:val="hybridMultilevel"/>
    <w:tmpl w:val="49E69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B134B5"/>
    <w:multiLevelType w:val="multilevel"/>
    <w:tmpl w:val="83AE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811E07"/>
    <w:multiLevelType w:val="hybridMultilevel"/>
    <w:tmpl w:val="04964C3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2F7B"/>
    <w:multiLevelType w:val="hybridMultilevel"/>
    <w:tmpl w:val="ECF28C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817CA"/>
    <w:multiLevelType w:val="multilevel"/>
    <w:tmpl w:val="C0200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E46A3E"/>
    <w:multiLevelType w:val="hybridMultilevel"/>
    <w:tmpl w:val="119266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D37AE5"/>
    <w:multiLevelType w:val="hybridMultilevel"/>
    <w:tmpl w:val="F13C0E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F351C2"/>
    <w:multiLevelType w:val="multilevel"/>
    <w:tmpl w:val="D1F084A6"/>
    <w:lvl w:ilvl="0">
      <w:start w:val="1"/>
      <w:numFmt w:val="upperLetter"/>
      <w:lvlText w:val="%1."/>
      <w:lvlJc w:val="left"/>
      <w:pPr>
        <w:ind w:left="1080" w:hanging="360"/>
      </w:pPr>
      <w:rPr>
        <w:rFonts w:hint="default"/>
        <w:b w:val="0"/>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bullet"/>
      <w:lvlText w:val=""/>
      <w:lvlJc w:val="left"/>
      <w:pPr>
        <w:ind w:left="3960" w:hanging="360"/>
      </w:pPr>
      <w:rPr>
        <w:rFonts w:ascii="Symbol" w:hAnsi="Symbol" w:hint="default"/>
        <w:color w:val="auto"/>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1E630C1"/>
    <w:multiLevelType w:val="hybridMultilevel"/>
    <w:tmpl w:val="1D42ECA4"/>
    <w:lvl w:ilvl="0" w:tplc="04090005">
      <w:start w:val="1"/>
      <w:numFmt w:val="bullet"/>
      <w:lvlText w:val=""/>
      <w:lvlJc w:val="left"/>
      <w:pPr>
        <w:ind w:left="990" w:hanging="360"/>
      </w:pPr>
      <w:rPr>
        <w:rFonts w:ascii="Wingdings" w:hAnsi="Wingdings"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B346FA66">
      <w:start w:val="1"/>
      <w:numFmt w:val="upperLetter"/>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8D6CB6"/>
    <w:multiLevelType w:val="hybridMultilevel"/>
    <w:tmpl w:val="A3846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A298E"/>
    <w:multiLevelType w:val="hybridMultilevel"/>
    <w:tmpl w:val="022CC1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7542AB"/>
    <w:multiLevelType w:val="hybridMultilevel"/>
    <w:tmpl w:val="978E861E"/>
    <w:lvl w:ilvl="0" w:tplc="CCF087F6">
      <w:start w:val="1"/>
      <w:numFmt w:val="bullet"/>
      <w:lvlText w:val="•"/>
      <w:lvlJc w:val="left"/>
      <w:pPr>
        <w:tabs>
          <w:tab w:val="num" w:pos="720"/>
        </w:tabs>
        <w:ind w:left="720" w:hanging="360"/>
      </w:pPr>
      <w:rPr>
        <w:rFonts w:ascii="Arial" w:hAnsi="Arial" w:hint="default"/>
      </w:rPr>
    </w:lvl>
    <w:lvl w:ilvl="1" w:tplc="4B14A822">
      <w:start w:val="1"/>
      <w:numFmt w:val="bullet"/>
      <w:lvlText w:val="•"/>
      <w:lvlJc w:val="left"/>
      <w:pPr>
        <w:tabs>
          <w:tab w:val="num" w:pos="1440"/>
        </w:tabs>
        <w:ind w:left="1440" w:hanging="360"/>
      </w:pPr>
      <w:rPr>
        <w:rFonts w:ascii="Arial" w:hAnsi="Arial" w:hint="default"/>
      </w:rPr>
    </w:lvl>
    <w:lvl w:ilvl="2" w:tplc="D444BE3C" w:tentative="1">
      <w:start w:val="1"/>
      <w:numFmt w:val="bullet"/>
      <w:lvlText w:val="•"/>
      <w:lvlJc w:val="left"/>
      <w:pPr>
        <w:tabs>
          <w:tab w:val="num" w:pos="2160"/>
        </w:tabs>
        <w:ind w:left="2160" w:hanging="360"/>
      </w:pPr>
      <w:rPr>
        <w:rFonts w:ascii="Arial" w:hAnsi="Arial" w:hint="default"/>
      </w:rPr>
    </w:lvl>
    <w:lvl w:ilvl="3" w:tplc="BAF609A0" w:tentative="1">
      <w:start w:val="1"/>
      <w:numFmt w:val="bullet"/>
      <w:lvlText w:val="•"/>
      <w:lvlJc w:val="left"/>
      <w:pPr>
        <w:tabs>
          <w:tab w:val="num" w:pos="2880"/>
        </w:tabs>
        <w:ind w:left="2880" w:hanging="360"/>
      </w:pPr>
      <w:rPr>
        <w:rFonts w:ascii="Arial" w:hAnsi="Arial" w:hint="default"/>
      </w:rPr>
    </w:lvl>
    <w:lvl w:ilvl="4" w:tplc="7876A5A2" w:tentative="1">
      <w:start w:val="1"/>
      <w:numFmt w:val="bullet"/>
      <w:lvlText w:val="•"/>
      <w:lvlJc w:val="left"/>
      <w:pPr>
        <w:tabs>
          <w:tab w:val="num" w:pos="3600"/>
        </w:tabs>
        <w:ind w:left="3600" w:hanging="360"/>
      </w:pPr>
      <w:rPr>
        <w:rFonts w:ascii="Arial" w:hAnsi="Arial" w:hint="default"/>
      </w:rPr>
    </w:lvl>
    <w:lvl w:ilvl="5" w:tplc="BB82F1D6" w:tentative="1">
      <w:start w:val="1"/>
      <w:numFmt w:val="bullet"/>
      <w:lvlText w:val="•"/>
      <w:lvlJc w:val="left"/>
      <w:pPr>
        <w:tabs>
          <w:tab w:val="num" w:pos="4320"/>
        </w:tabs>
        <w:ind w:left="4320" w:hanging="360"/>
      </w:pPr>
      <w:rPr>
        <w:rFonts w:ascii="Arial" w:hAnsi="Arial" w:hint="default"/>
      </w:rPr>
    </w:lvl>
    <w:lvl w:ilvl="6" w:tplc="43FC7B1C" w:tentative="1">
      <w:start w:val="1"/>
      <w:numFmt w:val="bullet"/>
      <w:lvlText w:val="•"/>
      <w:lvlJc w:val="left"/>
      <w:pPr>
        <w:tabs>
          <w:tab w:val="num" w:pos="5040"/>
        </w:tabs>
        <w:ind w:left="5040" w:hanging="360"/>
      </w:pPr>
      <w:rPr>
        <w:rFonts w:ascii="Arial" w:hAnsi="Arial" w:hint="default"/>
      </w:rPr>
    </w:lvl>
    <w:lvl w:ilvl="7" w:tplc="65C6BE2C" w:tentative="1">
      <w:start w:val="1"/>
      <w:numFmt w:val="bullet"/>
      <w:lvlText w:val="•"/>
      <w:lvlJc w:val="left"/>
      <w:pPr>
        <w:tabs>
          <w:tab w:val="num" w:pos="5760"/>
        </w:tabs>
        <w:ind w:left="5760" w:hanging="360"/>
      </w:pPr>
      <w:rPr>
        <w:rFonts w:ascii="Arial" w:hAnsi="Arial" w:hint="default"/>
      </w:rPr>
    </w:lvl>
    <w:lvl w:ilvl="8" w:tplc="1E3AE0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096087"/>
    <w:multiLevelType w:val="hybridMultilevel"/>
    <w:tmpl w:val="D2A0F1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AF4A76"/>
    <w:multiLevelType w:val="hybridMultilevel"/>
    <w:tmpl w:val="A7B68832"/>
    <w:lvl w:ilvl="0" w:tplc="B346FA66">
      <w:start w:val="1"/>
      <w:numFmt w:val="upperLetter"/>
      <w:lvlText w:val="%1."/>
      <w:lvlJc w:val="left"/>
      <w:pPr>
        <w:ind w:left="990" w:hanging="360"/>
      </w:pPr>
      <w:rPr>
        <w:rFonts w:hint="default"/>
      </w:rPr>
    </w:lvl>
    <w:lvl w:ilvl="1" w:tplc="04090017">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B346FA66">
      <w:start w:val="1"/>
      <w:numFmt w:val="upperLetter"/>
      <w:lvlText w:val="%4."/>
      <w:lvlJc w:val="left"/>
      <w:pPr>
        <w:ind w:left="3600" w:hanging="360"/>
      </w:pPr>
      <w:rPr>
        <w:rFont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042F40"/>
    <w:multiLevelType w:val="hybridMultilevel"/>
    <w:tmpl w:val="B036B8CA"/>
    <w:lvl w:ilvl="0" w:tplc="04090015">
      <w:start w:val="1"/>
      <w:numFmt w:val="upperLetter"/>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15:restartNumberingAfterBreak="0">
    <w:nsid w:val="74B92579"/>
    <w:multiLevelType w:val="hybridMultilevel"/>
    <w:tmpl w:val="B8E49D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8D4AB4"/>
    <w:multiLevelType w:val="hybridMultilevel"/>
    <w:tmpl w:val="793C8890"/>
    <w:lvl w:ilvl="0" w:tplc="6DDE4D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FD58AF"/>
    <w:multiLevelType w:val="hybridMultilevel"/>
    <w:tmpl w:val="FA7E3D30"/>
    <w:lvl w:ilvl="0" w:tplc="5A88A368">
      <w:numFmt w:val="bullet"/>
      <w:lvlText w:val="-"/>
      <w:lvlJc w:val="left"/>
      <w:pPr>
        <w:ind w:left="3000" w:hanging="360"/>
      </w:pPr>
      <w:rPr>
        <w:rFonts w:ascii="Times New Roman" w:eastAsia="Times New Roman" w:hAnsi="Times New Roman" w:cs="Times New Roman" w:hint="default"/>
        <w:b w:val="0"/>
        <w:color w:val="0000FF"/>
        <w:u w:val="single"/>
      </w:rPr>
    </w:lvl>
    <w:lvl w:ilvl="1" w:tplc="04090003" w:tentative="1">
      <w:start w:val="1"/>
      <w:numFmt w:val="bullet"/>
      <w:lvlText w:val="o"/>
      <w:lvlJc w:val="left"/>
      <w:pPr>
        <w:ind w:left="2940" w:hanging="360"/>
      </w:pPr>
      <w:rPr>
        <w:rFonts w:ascii="Courier New" w:hAnsi="Courier New" w:cs="Courier New" w:hint="default"/>
      </w:rPr>
    </w:lvl>
    <w:lvl w:ilvl="2" w:tplc="04090001">
      <w:start w:val="1"/>
      <w:numFmt w:val="bullet"/>
      <w:lvlText w:val=""/>
      <w:lvlJc w:val="left"/>
      <w:pPr>
        <w:ind w:left="3660" w:hanging="360"/>
      </w:pPr>
      <w:rPr>
        <w:rFonts w:ascii="Symbol" w:hAnsi="Symbol" w:hint="default"/>
      </w:rPr>
    </w:lvl>
    <w:lvl w:ilvl="3" w:tplc="0409000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3"/>
  </w:num>
  <w:num w:numId="2">
    <w:abstractNumId w:val="21"/>
  </w:num>
  <w:num w:numId="3">
    <w:abstractNumId w:val="18"/>
  </w:num>
  <w:num w:numId="4">
    <w:abstractNumId w:val="15"/>
  </w:num>
  <w:num w:numId="5">
    <w:abstractNumId w:val="20"/>
  </w:num>
  <w:num w:numId="6">
    <w:abstractNumId w:val="19"/>
  </w:num>
  <w:num w:numId="7">
    <w:abstractNumId w:val="12"/>
  </w:num>
  <w:num w:numId="8">
    <w:abstractNumId w:val="1"/>
  </w:num>
  <w:num w:numId="9">
    <w:abstractNumId w:val="7"/>
  </w:num>
  <w:num w:numId="10">
    <w:abstractNumId w:val="22"/>
  </w:num>
  <w:num w:numId="11">
    <w:abstractNumId w:val="2"/>
  </w:num>
  <w:num w:numId="12">
    <w:abstractNumId w:val="13"/>
  </w:num>
  <w:num w:numId="13">
    <w:abstractNumId w:val="9"/>
  </w:num>
  <w:num w:numId="14">
    <w:abstractNumId w:val="6"/>
  </w:num>
  <w:num w:numId="15">
    <w:abstractNumId w:val="0"/>
  </w:num>
  <w:num w:numId="16">
    <w:abstractNumId w:val="4"/>
  </w:num>
  <w:num w:numId="17">
    <w:abstractNumId w:val="17"/>
  </w:num>
  <w:num w:numId="18">
    <w:abstractNumId w:val="14"/>
  </w:num>
  <w:num w:numId="19">
    <w:abstractNumId w:val="8"/>
  </w:num>
  <w:num w:numId="20">
    <w:abstractNumId w:val="5"/>
  </w:num>
  <w:num w:numId="21">
    <w:abstractNumId w:val="11"/>
  </w:num>
  <w:num w:numId="22">
    <w:abstractNumId w:val="16"/>
  </w:num>
  <w:num w:numId="2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CHkEZGFqamJko6SsGpxcWZ+XkgBYa1APtXAIosAAAA"/>
  </w:docVars>
  <w:rsids>
    <w:rsidRoot w:val="00E0002A"/>
    <w:rsid w:val="00004056"/>
    <w:rsid w:val="000041AC"/>
    <w:rsid w:val="000074C7"/>
    <w:rsid w:val="00010830"/>
    <w:rsid w:val="00012C63"/>
    <w:rsid w:val="000172AA"/>
    <w:rsid w:val="000175C9"/>
    <w:rsid w:val="00020375"/>
    <w:rsid w:val="00020C39"/>
    <w:rsid w:val="0002583B"/>
    <w:rsid w:val="000267B4"/>
    <w:rsid w:val="00030313"/>
    <w:rsid w:val="00030BDA"/>
    <w:rsid w:val="000369FE"/>
    <w:rsid w:val="00036A78"/>
    <w:rsid w:val="00050FB2"/>
    <w:rsid w:val="000555F8"/>
    <w:rsid w:val="00064511"/>
    <w:rsid w:val="00066ECC"/>
    <w:rsid w:val="00067C8D"/>
    <w:rsid w:val="00067D0E"/>
    <w:rsid w:val="00072C6C"/>
    <w:rsid w:val="0007541D"/>
    <w:rsid w:val="000768A7"/>
    <w:rsid w:val="00076C17"/>
    <w:rsid w:val="00077667"/>
    <w:rsid w:val="00081B7F"/>
    <w:rsid w:val="000842C3"/>
    <w:rsid w:val="00084D11"/>
    <w:rsid w:val="00087D0E"/>
    <w:rsid w:val="00091986"/>
    <w:rsid w:val="00091C28"/>
    <w:rsid w:val="000927D5"/>
    <w:rsid w:val="00096C0F"/>
    <w:rsid w:val="000972FF"/>
    <w:rsid w:val="000A788C"/>
    <w:rsid w:val="000A7D57"/>
    <w:rsid w:val="000B0E8C"/>
    <w:rsid w:val="000B2EE8"/>
    <w:rsid w:val="000B3599"/>
    <w:rsid w:val="000B377F"/>
    <w:rsid w:val="000B4031"/>
    <w:rsid w:val="000B5B4E"/>
    <w:rsid w:val="000B6AEC"/>
    <w:rsid w:val="000C79ED"/>
    <w:rsid w:val="000D1ECA"/>
    <w:rsid w:val="000D26BA"/>
    <w:rsid w:val="000D2E33"/>
    <w:rsid w:val="000E12BA"/>
    <w:rsid w:val="000E2BEE"/>
    <w:rsid w:val="000E4FD6"/>
    <w:rsid w:val="000E6C58"/>
    <w:rsid w:val="000E7E54"/>
    <w:rsid w:val="000F1085"/>
    <w:rsid w:val="000F1661"/>
    <w:rsid w:val="000F1CBF"/>
    <w:rsid w:val="000F6BC6"/>
    <w:rsid w:val="000F6C35"/>
    <w:rsid w:val="0010053C"/>
    <w:rsid w:val="00102FB0"/>
    <w:rsid w:val="00103A38"/>
    <w:rsid w:val="001050B2"/>
    <w:rsid w:val="0010679F"/>
    <w:rsid w:val="00107DB6"/>
    <w:rsid w:val="0011040A"/>
    <w:rsid w:val="00112626"/>
    <w:rsid w:val="00112B68"/>
    <w:rsid w:val="001219D0"/>
    <w:rsid w:val="00130C28"/>
    <w:rsid w:val="00132A65"/>
    <w:rsid w:val="00133840"/>
    <w:rsid w:val="00135087"/>
    <w:rsid w:val="001425A1"/>
    <w:rsid w:val="00142C6A"/>
    <w:rsid w:val="00144C9D"/>
    <w:rsid w:val="001460C3"/>
    <w:rsid w:val="00153D99"/>
    <w:rsid w:val="00153F71"/>
    <w:rsid w:val="00154AE7"/>
    <w:rsid w:val="00155BD6"/>
    <w:rsid w:val="00155D29"/>
    <w:rsid w:val="00155E2E"/>
    <w:rsid w:val="00157B87"/>
    <w:rsid w:val="001637A4"/>
    <w:rsid w:val="00171262"/>
    <w:rsid w:val="00176598"/>
    <w:rsid w:val="00176CD1"/>
    <w:rsid w:val="00176F41"/>
    <w:rsid w:val="001811D7"/>
    <w:rsid w:val="00183995"/>
    <w:rsid w:val="001853CB"/>
    <w:rsid w:val="00195466"/>
    <w:rsid w:val="00197548"/>
    <w:rsid w:val="001A0EE4"/>
    <w:rsid w:val="001A39A7"/>
    <w:rsid w:val="001A6491"/>
    <w:rsid w:val="001A6D82"/>
    <w:rsid w:val="001A7032"/>
    <w:rsid w:val="001B6B35"/>
    <w:rsid w:val="001C30FE"/>
    <w:rsid w:val="001C5BA7"/>
    <w:rsid w:val="001C6473"/>
    <w:rsid w:val="001C75C3"/>
    <w:rsid w:val="001D345B"/>
    <w:rsid w:val="001D4DD5"/>
    <w:rsid w:val="001D791B"/>
    <w:rsid w:val="001D7EC3"/>
    <w:rsid w:val="001E0181"/>
    <w:rsid w:val="001E0591"/>
    <w:rsid w:val="001E1063"/>
    <w:rsid w:val="001E2400"/>
    <w:rsid w:val="001E4ED3"/>
    <w:rsid w:val="001F509D"/>
    <w:rsid w:val="001F51B3"/>
    <w:rsid w:val="00200D51"/>
    <w:rsid w:val="00203D1C"/>
    <w:rsid w:val="0020565F"/>
    <w:rsid w:val="0021097D"/>
    <w:rsid w:val="00212EE6"/>
    <w:rsid w:val="002153CF"/>
    <w:rsid w:val="00215C28"/>
    <w:rsid w:val="00215E65"/>
    <w:rsid w:val="00217918"/>
    <w:rsid w:val="00221396"/>
    <w:rsid w:val="00221437"/>
    <w:rsid w:val="002225E9"/>
    <w:rsid w:val="00223CDA"/>
    <w:rsid w:val="00226739"/>
    <w:rsid w:val="002272DC"/>
    <w:rsid w:val="00227A1A"/>
    <w:rsid w:val="00231C09"/>
    <w:rsid w:val="00235EFE"/>
    <w:rsid w:val="002401F6"/>
    <w:rsid w:val="00240BE4"/>
    <w:rsid w:val="002475B5"/>
    <w:rsid w:val="00251209"/>
    <w:rsid w:val="002576A4"/>
    <w:rsid w:val="00260F61"/>
    <w:rsid w:val="00261BDA"/>
    <w:rsid w:val="00262953"/>
    <w:rsid w:val="00263DD0"/>
    <w:rsid w:val="00264024"/>
    <w:rsid w:val="0026497F"/>
    <w:rsid w:val="00265C80"/>
    <w:rsid w:val="00267898"/>
    <w:rsid w:val="00267CB4"/>
    <w:rsid w:val="00272FD0"/>
    <w:rsid w:val="00273800"/>
    <w:rsid w:val="00274B81"/>
    <w:rsid w:val="002751A7"/>
    <w:rsid w:val="00275A4D"/>
    <w:rsid w:val="00277683"/>
    <w:rsid w:val="0028034D"/>
    <w:rsid w:val="00280B83"/>
    <w:rsid w:val="00285A27"/>
    <w:rsid w:val="00285C59"/>
    <w:rsid w:val="00290EC2"/>
    <w:rsid w:val="00290FCD"/>
    <w:rsid w:val="00293DA3"/>
    <w:rsid w:val="002973A7"/>
    <w:rsid w:val="002A54BF"/>
    <w:rsid w:val="002A6CDC"/>
    <w:rsid w:val="002B080B"/>
    <w:rsid w:val="002B0DCA"/>
    <w:rsid w:val="002B1B14"/>
    <w:rsid w:val="002B3BC1"/>
    <w:rsid w:val="002C0F31"/>
    <w:rsid w:val="002C176F"/>
    <w:rsid w:val="002C2176"/>
    <w:rsid w:val="002C4B4F"/>
    <w:rsid w:val="002C682A"/>
    <w:rsid w:val="002D286C"/>
    <w:rsid w:val="002E6545"/>
    <w:rsid w:val="002F4693"/>
    <w:rsid w:val="002F731B"/>
    <w:rsid w:val="002F7ABA"/>
    <w:rsid w:val="00300240"/>
    <w:rsid w:val="00300A50"/>
    <w:rsid w:val="0030200E"/>
    <w:rsid w:val="003027B9"/>
    <w:rsid w:val="003042C5"/>
    <w:rsid w:val="0030474F"/>
    <w:rsid w:val="00306A60"/>
    <w:rsid w:val="00307192"/>
    <w:rsid w:val="003141EE"/>
    <w:rsid w:val="00316885"/>
    <w:rsid w:val="00316E69"/>
    <w:rsid w:val="003200E2"/>
    <w:rsid w:val="00321FAE"/>
    <w:rsid w:val="0032465C"/>
    <w:rsid w:val="00330592"/>
    <w:rsid w:val="00330AEF"/>
    <w:rsid w:val="003343A5"/>
    <w:rsid w:val="00337D69"/>
    <w:rsid w:val="00343946"/>
    <w:rsid w:val="00350287"/>
    <w:rsid w:val="00351826"/>
    <w:rsid w:val="003531B2"/>
    <w:rsid w:val="00354D5E"/>
    <w:rsid w:val="003559F8"/>
    <w:rsid w:val="00364454"/>
    <w:rsid w:val="00365A74"/>
    <w:rsid w:val="003667B6"/>
    <w:rsid w:val="00366C27"/>
    <w:rsid w:val="00372AD4"/>
    <w:rsid w:val="00376A14"/>
    <w:rsid w:val="00377CFA"/>
    <w:rsid w:val="0038004D"/>
    <w:rsid w:val="003842C0"/>
    <w:rsid w:val="00390B34"/>
    <w:rsid w:val="003912A8"/>
    <w:rsid w:val="003923F6"/>
    <w:rsid w:val="00393CC9"/>
    <w:rsid w:val="00394E65"/>
    <w:rsid w:val="00395B52"/>
    <w:rsid w:val="00395E2F"/>
    <w:rsid w:val="003A2FF6"/>
    <w:rsid w:val="003A3ABB"/>
    <w:rsid w:val="003A3E7C"/>
    <w:rsid w:val="003B4FD0"/>
    <w:rsid w:val="003B6F99"/>
    <w:rsid w:val="003B71C1"/>
    <w:rsid w:val="003B755F"/>
    <w:rsid w:val="003C097C"/>
    <w:rsid w:val="003C12D0"/>
    <w:rsid w:val="003C3E6B"/>
    <w:rsid w:val="003C5AC8"/>
    <w:rsid w:val="003C7A14"/>
    <w:rsid w:val="003D1AF4"/>
    <w:rsid w:val="003D1B4C"/>
    <w:rsid w:val="003D44C1"/>
    <w:rsid w:val="003D637B"/>
    <w:rsid w:val="003D744B"/>
    <w:rsid w:val="003E2B3F"/>
    <w:rsid w:val="003E39EA"/>
    <w:rsid w:val="003E4B16"/>
    <w:rsid w:val="003E6449"/>
    <w:rsid w:val="003E7F2E"/>
    <w:rsid w:val="003F6FC2"/>
    <w:rsid w:val="0040029D"/>
    <w:rsid w:val="004030EA"/>
    <w:rsid w:val="00404447"/>
    <w:rsid w:val="00404B20"/>
    <w:rsid w:val="004053B7"/>
    <w:rsid w:val="004076C9"/>
    <w:rsid w:val="004113E0"/>
    <w:rsid w:val="00412604"/>
    <w:rsid w:val="00412B97"/>
    <w:rsid w:val="0041484F"/>
    <w:rsid w:val="00414857"/>
    <w:rsid w:val="004329FE"/>
    <w:rsid w:val="004331B6"/>
    <w:rsid w:val="004443E5"/>
    <w:rsid w:val="0044547C"/>
    <w:rsid w:val="00446207"/>
    <w:rsid w:val="004525F9"/>
    <w:rsid w:val="00452704"/>
    <w:rsid w:val="00453485"/>
    <w:rsid w:val="0046278A"/>
    <w:rsid w:val="004644DF"/>
    <w:rsid w:val="00464D3A"/>
    <w:rsid w:val="0046564B"/>
    <w:rsid w:val="00467A04"/>
    <w:rsid w:val="00471ECA"/>
    <w:rsid w:val="004729D7"/>
    <w:rsid w:val="00475169"/>
    <w:rsid w:val="00475550"/>
    <w:rsid w:val="004764BA"/>
    <w:rsid w:val="00483D55"/>
    <w:rsid w:val="0048435E"/>
    <w:rsid w:val="004856E2"/>
    <w:rsid w:val="00486E0C"/>
    <w:rsid w:val="00490DCE"/>
    <w:rsid w:val="004910DF"/>
    <w:rsid w:val="00493E2B"/>
    <w:rsid w:val="004950B9"/>
    <w:rsid w:val="00497481"/>
    <w:rsid w:val="004A2ABD"/>
    <w:rsid w:val="004A4F0D"/>
    <w:rsid w:val="004A63EF"/>
    <w:rsid w:val="004B05CE"/>
    <w:rsid w:val="004B1C03"/>
    <w:rsid w:val="004D0A6D"/>
    <w:rsid w:val="004E0C80"/>
    <w:rsid w:val="004E107C"/>
    <w:rsid w:val="004E34C8"/>
    <w:rsid w:val="004E55D3"/>
    <w:rsid w:val="004E6E49"/>
    <w:rsid w:val="004F1491"/>
    <w:rsid w:val="004F2213"/>
    <w:rsid w:val="004F6760"/>
    <w:rsid w:val="00511444"/>
    <w:rsid w:val="00512756"/>
    <w:rsid w:val="0051399A"/>
    <w:rsid w:val="00513B9A"/>
    <w:rsid w:val="00515A85"/>
    <w:rsid w:val="005163A1"/>
    <w:rsid w:val="00520957"/>
    <w:rsid w:val="00520AE1"/>
    <w:rsid w:val="00530589"/>
    <w:rsid w:val="00531EFA"/>
    <w:rsid w:val="0053318B"/>
    <w:rsid w:val="0053517F"/>
    <w:rsid w:val="0054330A"/>
    <w:rsid w:val="00543E55"/>
    <w:rsid w:val="005460EB"/>
    <w:rsid w:val="00546E55"/>
    <w:rsid w:val="00550DA9"/>
    <w:rsid w:val="00553132"/>
    <w:rsid w:val="00553DD3"/>
    <w:rsid w:val="005544F6"/>
    <w:rsid w:val="00555380"/>
    <w:rsid w:val="005561AD"/>
    <w:rsid w:val="005574DE"/>
    <w:rsid w:val="0056408B"/>
    <w:rsid w:val="00567412"/>
    <w:rsid w:val="005720FF"/>
    <w:rsid w:val="005811E6"/>
    <w:rsid w:val="005814DE"/>
    <w:rsid w:val="005824A1"/>
    <w:rsid w:val="00582CAC"/>
    <w:rsid w:val="00586FC0"/>
    <w:rsid w:val="005917BA"/>
    <w:rsid w:val="00591F60"/>
    <w:rsid w:val="0059203C"/>
    <w:rsid w:val="00592BE5"/>
    <w:rsid w:val="00594958"/>
    <w:rsid w:val="00597776"/>
    <w:rsid w:val="005A0F7C"/>
    <w:rsid w:val="005A43AF"/>
    <w:rsid w:val="005A781E"/>
    <w:rsid w:val="005B6606"/>
    <w:rsid w:val="005B7A28"/>
    <w:rsid w:val="005C2BDC"/>
    <w:rsid w:val="005C4087"/>
    <w:rsid w:val="005D06B9"/>
    <w:rsid w:val="005D625A"/>
    <w:rsid w:val="005E2B77"/>
    <w:rsid w:val="005E64F5"/>
    <w:rsid w:val="005E6B3C"/>
    <w:rsid w:val="005F27B2"/>
    <w:rsid w:val="006006EE"/>
    <w:rsid w:val="00601375"/>
    <w:rsid w:val="00601FD1"/>
    <w:rsid w:val="00605D1C"/>
    <w:rsid w:val="00606BBC"/>
    <w:rsid w:val="006074C1"/>
    <w:rsid w:val="00610938"/>
    <w:rsid w:val="006126C6"/>
    <w:rsid w:val="006137BF"/>
    <w:rsid w:val="00617195"/>
    <w:rsid w:val="006207A2"/>
    <w:rsid w:val="006207AB"/>
    <w:rsid w:val="006216F0"/>
    <w:rsid w:val="00625A6E"/>
    <w:rsid w:val="00625B3A"/>
    <w:rsid w:val="0063589E"/>
    <w:rsid w:val="006413A7"/>
    <w:rsid w:val="0064232F"/>
    <w:rsid w:val="00642CA3"/>
    <w:rsid w:val="00644056"/>
    <w:rsid w:val="00644606"/>
    <w:rsid w:val="00651731"/>
    <w:rsid w:val="00654955"/>
    <w:rsid w:val="00656CC3"/>
    <w:rsid w:val="00660866"/>
    <w:rsid w:val="0066302D"/>
    <w:rsid w:val="00671522"/>
    <w:rsid w:val="00671DEE"/>
    <w:rsid w:val="006742A0"/>
    <w:rsid w:val="006744FF"/>
    <w:rsid w:val="00680B3E"/>
    <w:rsid w:val="006811F4"/>
    <w:rsid w:val="00686340"/>
    <w:rsid w:val="0068798C"/>
    <w:rsid w:val="0069111E"/>
    <w:rsid w:val="006923DA"/>
    <w:rsid w:val="006A236F"/>
    <w:rsid w:val="006A4AD5"/>
    <w:rsid w:val="006A63B6"/>
    <w:rsid w:val="006B32A2"/>
    <w:rsid w:val="006B515B"/>
    <w:rsid w:val="006B73BF"/>
    <w:rsid w:val="006C05D0"/>
    <w:rsid w:val="006C16A5"/>
    <w:rsid w:val="006C3416"/>
    <w:rsid w:val="006C47A3"/>
    <w:rsid w:val="006C4A27"/>
    <w:rsid w:val="006C4C7C"/>
    <w:rsid w:val="006C6E71"/>
    <w:rsid w:val="006D0BF0"/>
    <w:rsid w:val="006D7723"/>
    <w:rsid w:val="006E1D47"/>
    <w:rsid w:val="006E2208"/>
    <w:rsid w:val="006E317D"/>
    <w:rsid w:val="006E36FB"/>
    <w:rsid w:val="006E57BF"/>
    <w:rsid w:val="006E61A8"/>
    <w:rsid w:val="006E6BF9"/>
    <w:rsid w:val="006F0544"/>
    <w:rsid w:val="00700736"/>
    <w:rsid w:val="0070114A"/>
    <w:rsid w:val="00704DE4"/>
    <w:rsid w:val="00705E44"/>
    <w:rsid w:val="00712D6F"/>
    <w:rsid w:val="00723CD0"/>
    <w:rsid w:val="00732C46"/>
    <w:rsid w:val="00745DCF"/>
    <w:rsid w:val="00746ABE"/>
    <w:rsid w:val="0075453F"/>
    <w:rsid w:val="00754791"/>
    <w:rsid w:val="00755DAC"/>
    <w:rsid w:val="007659AC"/>
    <w:rsid w:val="00766464"/>
    <w:rsid w:val="007670EF"/>
    <w:rsid w:val="00770AFA"/>
    <w:rsid w:val="00770B6C"/>
    <w:rsid w:val="00777FB7"/>
    <w:rsid w:val="00781E53"/>
    <w:rsid w:val="007827BB"/>
    <w:rsid w:val="007831B5"/>
    <w:rsid w:val="00784816"/>
    <w:rsid w:val="007872C7"/>
    <w:rsid w:val="00793B7A"/>
    <w:rsid w:val="00796465"/>
    <w:rsid w:val="007A0362"/>
    <w:rsid w:val="007A206C"/>
    <w:rsid w:val="007A2776"/>
    <w:rsid w:val="007A4BDD"/>
    <w:rsid w:val="007B0D7D"/>
    <w:rsid w:val="007B3487"/>
    <w:rsid w:val="007B3685"/>
    <w:rsid w:val="007B5D40"/>
    <w:rsid w:val="007B6748"/>
    <w:rsid w:val="007B74E3"/>
    <w:rsid w:val="007B7B2A"/>
    <w:rsid w:val="007C05E8"/>
    <w:rsid w:val="007C2F51"/>
    <w:rsid w:val="007C5806"/>
    <w:rsid w:val="007D0A31"/>
    <w:rsid w:val="007D0AE5"/>
    <w:rsid w:val="007D4421"/>
    <w:rsid w:val="007D4C92"/>
    <w:rsid w:val="007D5DDF"/>
    <w:rsid w:val="007E14B0"/>
    <w:rsid w:val="007E5B1C"/>
    <w:rsid w:val="007E62BD"/>
    <w:rsid w:val="007F088A"/>
    <w:rsid w:val="007F0B64"/>
    <w:rsid w:val="007F16CB"/>
    <w:rsid w:val="007F3D4B"/>
    <w:rsid w:val="007F3FDB"/>
    <w:rsid w:val="007F498B"/>
    <w:rsid w:val="007F4CE4"/>
    <w:rsid w:val="007F4E5E"/>
    <w:rsid w:val="0080348C"/>
    <w:rsid w:val="008037EB"/>
    <w:rsid w:val="008112AD"/>
    <w:rsid w:val="00814ABD"/>
    <w:rsid w:val="00817103"/>
    <w:rsid w:val="00817BCF"/>
    <w:rsid w:val="008213B2"/>
    <w:rsid w:val="00827673"/>
    <w:rsid w:val="00830215"/>
    <w:rsid w:val="00831073"/>
    <w:rsid w:val="008336AD"/>
    <w:rsid w:val="00834BFE"/>
    <w:rsid w:val="00850D43"/>
    <w:rsid w:val="00854B15"/>
    <w:rsid w:val="00856F02"/>
    <w:rsid w:val="00864C67"/>
    <w:rsid w:val="00866894"/>
    <w:rsid w:val="00866F3A"/>
    <w:rsid w:val="00867ED9"/>
    <w:rsid w:val="0087081B"/>
    <w:rsid w:val="008708AA"/>
    <w:rsid w:val="00870D75"/>
    <w:rsid w:val="00874A31"/>
    <w:rsid w:val="00877078"/>
    <w:rsid w:val="008819CB"/>
    <w:rsid w:val="0088306A"/>
    <w:rsid w:val="0088387F"/>
    <w:rsid w:val="008843F9"/>
    <w:rsid w:val="00887534"/>
    <w:rsid w:val="00887FD1"/>
    <w:rsid w:val="00891F3A"/>
    <w:rsid w:val="00893252"/>
    <w:rsid w:val="00893C81"/>
    <w:rsid w:val="00893FC9"/>
    <w:rsid w:val="00894EDB"/>
    <w:rsid w:val="008967B1"/>
    <w:rsid w:val="008A1A39"/>
    <w:rsid w:val="008A4919"/>
    <w:rsid w:val="008A69B3"/>
    <w:rsid w:val="008A766A"/>
    <w:rsid w:val="008A7878"/>
    <w:rsid w:val="008B414B"/>
    <w:rsid w:val="008B4C2B"/>
    <w:rsid w:val="008B55E5"/>
    <w:rsid w:val="008B61CC"/>
    <w:rsid w:val="008C08A3"/>
    <w:rsid w:val="008C7370"/>
    <w:rsid w:val="008C7682"/>
    <w:rsid w:val="008D03BD"/>
    <w:rsid w:val="008D3258"/>
    <w:rsid w:val="008D3738"/>
    <w:rsid w:val="008E371F"/>
    <w:rsid w:val="008E5210"/>
    <w:rsid w:val="008F0592"/>
    <w:rsid w:val="008F0917"/>
    <w:rsid w:val="008F5E26"/>
    <w:rsid w:val="00900FEC"/>
    <w:rsid w:val="00901610"/>
    <w:rsid w:val="00901846"/>
    <w:rsid w:val="00902CE0"/>
    <w:rsid w:val="0090548D"/>
    <w:rsid w:val="00905682"/>
    <w:rsid w:val="00905768"/>
    <w:rsid w:val="0090770E"/>
    <w:rsid w:val="009078E8"/>
    <w:rsid w:val="009100C7"/>
    <w:rsid w:val="009112DD"/>
    <w:rsid w:val="00914997"/>
    <w:rsid w:val="0091576B"/>
    <w:rsid w:val="00917023"/>
    <w:rsid w:val="0091749C"/>
    <w:rsid w:val="00923281"/>
    <w:rsid w:val="00924958"/>
    <w:rsid w:val="00930A92"/>
    <w:rsid w:val="0093145C"/>
    <w:rsid w:val="00931D46"/>
    <w:rsid w:val="00932B7B"/>
    <w:rsid w:val="00934FFC"/>
    <w:rsid w:val="00935598"/>
    <w:rsid w:val="00937F37"/>
    <w:rsid w:val="00940577"/>
    <w:rsid w:val="00942DB9"/>
    <w:rsid w:val="00944B98"/>
    <w:rsid w:val="009522C4"/>
    <w:rsid w:val="009538BF"/>
    <w:rsid w:val="00953964"/>
    <w:rsid w:val="00956088"/>
    <w:rsid w:val="00963297"/>
    <w:rsid w:val="00966815"/>
    <w:rsid w:val="00972845"/>
    <w:rsid w:val="0097344A"/>
    <w:rsid w:val="00977EE2"/>
    <w:rsid w:val="009803C3"/>
    <w:rsid w:val="0099110A"/>
    <w:rsid w:val="00995F96"/>
    <w:rsid w:val="00997C70"/>
    <w:rsid w:val="009A03BF"/>
    <w:rsid w:val="009A0459"/>
    <w:rsid w:val="009A3709"/>
    <w:rsid w:val="009A55CD"/>
    <w:rsid w:val="009A7CFF"/>
    <w:rsid w:val="009B3127"/>
    <w:rsid w:val="009B3CFB"/>
    <w:rsid w:val="009C0FE3"/>
    <w:rsid w:val="009C1605"/>
    <w:rsid w:val="009C1EA2"/>
    <w:rsid w:val="009C5782"/>
    <w:rsid w:val="009D1F10"/>
    <w:rsid w:val="009F7CC0"/>
    <w:rsid w:val="00A00738"/>
    <w:rsid w:val="00A0128E"/>
    <w:rsid w:val="00A054CA"/>
    <w:rsid w:val="00A05968"/>
    <w:rsid w:val="00A11AD5"/>
    <w:rsid w:val="00A12576"/>
    <w:rsid w:val="00A165FB"/>
    <w:rsid w:val="00A2099F"/>
    <w:rsid w:val="00A213E4"/>
    <w:rsid w:val="00A25C21"/>
    <w:rsid w:val="00A27F59"/>
    <w:rsid w:val="00A32E32"/>
    <w:rsid w:val="00A348F3"/>
    <w:rsid w:val="00A34CD0"/>
    <w:rsid w:val="00A350F8"/>
    <w:rsid w:val="00A41676"/>
    <w:rsid w:val="00A4286A"/>
    <w:rsid w:val="00A42C77"/>
    <w:rsid w:val="00A464FF"/>
    <w:rsid w:val="00A475B5"/>
    <w:rsid w:val="00A508FF"/>
    <w:rsid w:val="00A515DF"/>
    <w:rsid w:val="00A52A49"/>
    <w:rsid w:val="00A5315A"/>
    <w:rsid w:val="00A53B83"/>
    <w:rsid w:val="00A540F8"/>
    <w:rsid w:val="00A57079"/>
    <w:rsid w:val="00A61E1B"/>
    <w:rsid w:val="00A6388E"/>
    <w:rsid w:val="00A648B6"/>
    <w:rsid w:val="00A67590"/>
    <w:rsid w:val="00A70556"/>
    <w:rsid w:val="00A71CA2"/>
    <w:rsid w:val="00A75CE7"/>
    <w:rsid w:val="00A7645C"/>
    <w:rsid w:val="00A80AEE"/>
    <w:rsid w:val="00A8105A"/>
    <w:rsid w:val="00A8577E"/>
    <w:rsid w:val="00A8689F"/>
    <w:rsid w:val="00A91CFD"/>
    <w:rsid w:val="00A92959"/>
    <w:rsid w:val="00A943A9"/>
    <w:rsid w:val="00A94F57"/>
    <w:rsid w:val="00A9543C"/>
    <w:rsid w:val="00A968F1"/>
    <w:rsid w:val="00AA2E53"/>
    <w:rsid w:val="00AA3CE5"/>
    <w:rsid w:val="00AA5818"/>
    <w:rsid w:val="00AB2BBA"/>
    <w:rsid w:val="00AB31A9"/>
    <w:rsid w:val="00AC126D"/>
    <w:rsid w:val="00AC39D7"/>
    <w:rsid w:val="00AC48BA"/>
    <w:rsid w:val="00AC4AD4"/>
    <w:rsid w:val="00AD007E"/>
    <w:rsid w:val="00AD061D"/>
    <w:rsid w:val="00AD26BA"/>
    <w:rsid w:val="00AD48AE"/>
    <w:rsid w:val="00AD522F"/>
    <w:rsid w:val="00AD605B"/>
    <w:rsid w:val="00AD6648"/>
    <w:rsid w:val="00AD7496"/>
    <w:rsid w:val="00AE1E5B"/>
    <w:rsid w:val="00AE23E2"/>
    <w:rsid w:val="00AE58F6"/>
    <w:rsid w:val="00AF6B33"/>
    <w:rsid w:val="00B01F64"/>
    <w:rsid w:val="00B02680"/>
    <w:rsid w:val="00B0294D"/>
    <w:rsid w:val="00B047B0"/>
    <w:rsid w:val="00B12067"/>
    <w:rsid w:val="00B145FF"/>
    <w:rsid w:val="00B153FA"/>
    <w:rsid w:val="00B221F2"/>
    <w:rsid w:val="00B23521"/>
    <w:rsid w:val="00B2416D"/>
    <w:rsid w:val="00B2546A"/>
    <w:rsid w:val="00B26B34"/>
    <w:rsid w:val="00B27437"/>
    <w:rsid w:val="00B27EA2"/>
    <w:rsid w:val="00B31BE1"/>
    <w:rsid w:val="00B34BD6"/>
    <w:rsid w:val="00B37AB5"/>
    <w:rsid w:val="00B4122D"/>
    <w:rsid w:val="00B445DA"/>
    <w:rsid w:val="00B4568D"/>
    <w:rsid w:val="00B45FE6"/>
    <w:rsid w:val="00B4690D"/>
    <w:rsid w:val="00B5051A"/>
    <w:rsid w:val="00B5658C"/>
    <w:rsid w:val="00B56FBC"/>
    <w:rsid w:val="00B67F0B"/>
    <w:rsid w:val="00B71435"/>
    <w:rsid w:val="00B720F5"/>
    <w:rsid w:val="00B77D78"/>
    <w:rsid w:val="00B81452"/>
    <w:rsid w:val="00B82A5B"/>
    <w:rsid w:val="00B82B47"/>
    <w:rsid w:val="00B82FC4"/>
    <w:rsid w:val="00B85961"/>
    <w:rsid w:val="00B85D48"/>
    <w:rsid w:val="00B871E9"/>
    <w:rsid w:val="00B8785D"/>
    <w:rsid w:val="00B87C7F"/>
    <w:rsid w:val="00BA115E"/>
    <w:rsid w:val="00BA120A"/>
    <w:rsid w:val="00BA2363"/>
    <w:rsid w:val="00BA28DF"/>
    <w:rsid w:val="00BA57AF"/>
    <w:rsid w:val="00BB136E"/>
    <w:rsid w:val="00BB321D"/>
    <w:rsid w:val="00BB7271"/>
    <w:rsid w:val="00BB7527"/>
    <w:rsid w:val="00BC16C0"/>
    <w:rsid w:val="00BC1EA1"/>
    <w:rsid w:val="00BC41E4"/>
    <w:rsid w:val="00BC4C66"/>
    <w:rsid w:val="00BC564A"/>
    <w:rsid w:val="00BD034E"/>
    <w:rsid w:val="00BD1ACC"/>
    <w:rsid w:val="00BD4560"/>
    <w:rsid w:val="00BD485C"/>
    <w:rsid w:val="00BE13D0"/>
    <w:rsid w:val="00BE4839"/>
    <w:rsid w:val="00BE6466"/>
    <w:rsid w:val="00BF0178"/>
    <w:rsid w:val="00BF35B4"/>
    <w:rsid w:val="00C01A1A"/>
    <w:rsid w:val="00C038F0"/>
    <w:rsid w:val="00C04F37"/>
    <w:rsid w:val="00C05B5B"/>
    <w:rsid w:val="00C10003"/>
    <w:rsid w:val="00C103A9"/>
    <w:rsid w:val="00C13645"/>
    <w:rsid w:val="00C159D8"/>
    <w:rsid w:val="00C20481"/>
    <w:rsid w:val="00C20B08"/>
    <w:rsid w:val="00C247C7"/>
    <w:rsid w:val="00C25A66"/>
    <w:rsid w:val="00C309EF"/>
    <w:rsid w:val="00C36D36"/>
    <w:rsid w:val="00C4147B"/>
    <w:rsid w:val="00C41BA3"/>
    <w:rsid w:val="00C46C4E"/>
    <w:rsid w:val="00C47F45"/>
    <w:rsid w:val="00C51F3B"/>
    <w:rsid w:val="00C52E5B"/>
    <w:rsid w:val="00C66D80"/>
    <w:rsid w:val="00C67B58"/>
    <w:rsid w:val="00C71F56"/>
    <w:rsid w:val="00C752C6"/>
    <w:rsid w:val="00C76BB0"/>
    <w:rsid w:val="00C8028F"/>
    <w:rsid w:val="00C805BE"/>
    <w:rsid w:val="00C818CF"/>
    <w:rsid w:val="00C86911"/>
    <w:rsid w:val="00C86D81"/>
    <w:rsid w:val="00C86EFB"/>
    <w:rsid w:val="00C87328"/>
    <w:rsid w:val="00C878E2"/>
    <w:rsid w:val="00C928BB"/>
    <w:rsid w:val="00C93359"/>
    <w:rsid w:val="00C9351A"/>
    <w:rsid w:val="00C93646"/>
    <w:rsid w:val="00C93B14"/>
    <w:rsid w:val="00C9519F"/>
    <w:rsid w:val="00C9729D"/>
    <w:rsid w:val="00CA0D9F"/>
    <w:rsid w:val="00CA7B9B"/>
    <w:rsid w:val="00CC3CBF"/>
    <w:rsid w:val="00CC4BAC"/>
    <w:rsid w:val="00CC6423"/>
    <w:rsid w:val="00CC681F"/>
    <w:rsid w:val="00CC72FB"/>
    <w:rsid w:val="00CD0B33"/>
    <w:rsid w:val="00CD1F75"/>
    <w:rsid w:val="00CD23D7"/>
    <w:rsid w:val="00CD2855"/>
    <w:rsid w:val="00CE363A"/>
    <w:rsid w:val="00CE3838"/>
    <w:rsid w:val="00CE447A"/>
    <w:rsid w:val="00CE4855"/>
    <w:rsid w:val="00CE4E9B"/>
    <w:rsid w:val="00CE77DD"/>
    <w:rsid w:val="00CF1C2F"/>
    <w:rsid w:val="00CF2201"/>
    <w:rsid w:val="00CF616A"/>
    <w:rsid w:val="00D00C79"/>
    <w:rsid w:val="00D022F7"/>
    <w:rsid w:val="00D05FD2"/>
    <w:rsid w:val="00D06320"/>
    <w:rsid w:val="00D108A8"/>
    <w:rsid w:val="00D2287B"/>
    <w:rsid w:val="00D23004"/>
    <w:rsid w:val="00D23DDE"/>
    <w:rsid w:val="00D30A38"/>
    <w:rsid w:val="00D426C4"/>
    <w:rsid w:val="00D45D02"/>
    <w:rsid w:val="00D472CD"/>
    <w:rsid w:val="00D50309"/>
    <w:rsid w:val="00D50F81"/>
    <w:rsid w:val="00D51A4C"/>
    <w:rsid w:val="00D56A3D"/>
    <w:rsid w:val="00D608FA"/>
    <w:rsid w:val="00D61FB1"/>
    <w:rsid w:val="00D64154"/>
    <w:rsid w:val="00D64B58"/>
    <w:rsid w:val="00D65D9F"/>
    <w:rsid w:val="00D716AC"/>
    <w:rsid w:val="00D74E93"/>
    <w:rsid w:val="00D77F2B"/>
    <w:rsid w:val="00D806E8"/>
    <w:rsid w:val="00D81ACE"/>
    <w:rsid w:val="00D83601"/>
    <w:rsid w:val="00D9010E"/>
    <w:rsid w:val="00D9039F"/>
    <w:rsid w:val="00D972CA"/>
    <w:rsid w:val="00D975DD"/>
    <w:rsid w:val="00D97947"/>
    <w:rsid w:val="00DA46AA"/>
    <w:rsid w:val="00DA5DFC"/>
    <w:rsid w:val="00DA7036"/>
    <w:rsid w:val="00DB060E"/>
    <w:rsid w:val="00DB17EE"/>
    <w:rsid w:val="00DB3B36"/>
    <w:rsid w:val="00DB3C4A"/>
    <w:rsid w:val="00DC147A"/>
    <w:rsid w:val="00DC1D72"/>
    <w:rsid w:val="00DC2C1A"/>
    <w:rsid w:val="00DC49BA"/>
    <w:rsid w:val="00DC756B"/>
    <w:rsid w:val="00DD2319"/>
    <w:rsid w:val="00DE03A5"/>
    <w:rsid w:val="00DE22FE"/>
    <w:rsid w:val="00DE4D25"/>
    <w:rsid w:val="00DE545D"/>
    <w:rsid w:val="00DE7BAD"/>
    <w:rsid w:val="00DF14E0"/>
    <w:rsid w:val="00DF4268"/>
    <w:rsid w:val="00DF4AAA"/>
    <w:rsid w:val="00E0002A"/>
    <w:rsid w:val="00E11EFE"/>
    <w:rsid w:val="00E2066C"/>
    <w:rsid w:val="00E25608"/>
    <w:rsid w:val="00E27FA2"/>
    <w:rsid w:val="00E316A5"/>
    <w:rsid w:val="00E31B41"/>
    <w:rsid w:val="00E36CE4"/>
    <w:rsid w:val="00E41B81"/>
    <w:rsid w:val="00E42B0F"/>
    <w:rsid w:val="00E44251"/>
    <w:rsid w:val="00E44E68"/>
    <w:rsid w:val="00E51C81"/>
    <w:rsid w:val="00E5472B"/>
    <w:rsid w:val="00E55710"/>
    <w:rsid w:val="00E56D93"/>
    <w:rsid w:val="00E6468D"/>
    <w:rsid w:val="00E71048"/>
    <w:rsid w:val="00E71A92"/>
    <w:rsid w:val="00E75916"/>
    <w:rsid w:val="00E76AC1"/>
    <w:rsid w:val="00E77601"/>
    <w:rsid w:val="00E82FFC"/>
    <w:rsid w:val="00E83088"/>
    <w:rsid w:val="00E869A2"/>
    <w:rsid w:val="00E87561"/>
    <w:rsid w:val="00E93409"/>
    <w:rsid w:val="00E9499D"/>
    <w:rsid w:val="00EA2370"/>
    <w:rsid w:val="00EA5837"/>
    <w:rsid w:val="00EA7D9E"/>
    <w:rsid w:val="00EB3BAC"/>
    <w:rsid w:val="00EC7CCC"/>
    <w:rsid w:val="00ED26A8"/>
    <w:rsid w:val="00ED2AAE"/>
    <w:rsid w:val="00ED494E"/>
    <w:rsid w:val="00ED7C66"/>
    <w:rsid w:val="00EE1A12"/>
    <w:rsid w:val="00EE2619"/>
    <w:rsid w:val="00EE5BA0"/>
    <w:rsid w:val="00EF26D3"/>
    <w:rsid w:val="00EF6524"/>
    <w:rsid w:val="00EF6565"/>
    <w:rsid w:val="00F005F6"/>
    <w:rsid w:val="00F05929"/>
    <w:rsid w:val="00F069B9"/>
    <w:rsid w:val="00F074FE"/>
    <w:rsid w:val="00F07EE8"/>
    <w:rsid w:val="00F10F0B"/>
    <w:rsid w:val="00F110B0"/>
    <w:rsid w:val="00F127C4"/>
    <w:rsid w:val="00F13EB6"/>
    <w:rsid w:val="00F227E7"/>
    <w:rsid w:val="00F24B85"/>
    <w:rsid w:val="00F24F88"/>
    <w:rsid w:val="00F26C0B"/>
    <w:rsid w:val="00F33E09"/>
    <w:rsid w:val="00F4128F"/>
    <w:rsid w:val="00F4243A"/>
    <w:rsid w:val="00F43055"/>
    <w:rsid w:val="00F4383F"/>
    <w:rsid w:val="00F45760"/>
    <w:rsid w:val="00F518A5"/>
    <w:rsid w:val="00F522DA"/>
    <w:rsid w:val="00F52778"/>
    <w:rsid w:val="00F6114C"/>
    <w:rsid w:val="00F649C7"/>
    <w:rsid w:val="00F65202"/>
    <w:rsid w:val="00F67BA0"/>
    <w:rsid w:val="00F67F42"/>
    <w:rsid w:val="00F71E2F"/>
    <w:rsid w:val="00F74F28"/>
    <w:rsid w:val="00F75FDA"/>
    <w:rsid w:val="00F76B33"/>
    <w:rsid w:val="00F778D5"/>
    <w:rsid w:val="00F80696"/>
    <w:rsid w:val="00F81F9A"/>
    <w:rsid w:val="00F87E6D"/>
    <w:rsid w:val="00F87FE9"/>
    <w:rsid w:val="00F919E3"/>
    <w:rsid w:val="00F92DAA"/>
    <w:rsid w:val="00F94E22"/>
    <w:rsid w:val="00F96AC9"/>
    <w:rsid w:val="00F9769B"/>
    <w:rsid w:val="00FA31F4"/>
    <w:rsid w:val="00FA4C59"/>
    <w:rsid w:val="00FB1D35"/>
    <w:rsid w:val="00FB1F4E"/>
    <w:rsid w:val="00FB49FA"/>
    <w:rsid w:val="00FB7CE6"/>
    <w:rsid w:val="00FC07CB"/>
    <w:rsid w:val="00FC2878"/>
    <w:rsid w:val="00FD0359"/>
    <w:rsid w:val="00FD0CC4"/>
    <w:rsid w:val="00FD6152"/>
    <w:rsid w:val="00FE061E"/>
    <w:rsid w:val="00FE2211"/>
    <w:rsid w:val="00FE4FFE"/>
    <w:rsid w:val="00FE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BE211"/>
  <w15:docId w15:val="{A3102836-4216-4327-A86B-6D6D25C1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0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002A"/>
    <w:pPr>
      <w:pBdr>
        <w:top w:val="single" w:sz="8" w:space="1" w:color="auto"/>
        <w:bottom w:val="single" w:sz="8" w:space="1" w:color="auto"/>
      </w:pBdr>
      <w:outlineLvl w:val="0"/>
    </w:pPr>
    <w:rPr>
      <w:b/>
      <w:bCs/>
      <w:sz w:val="32"/>
      <w:szCs w:val="32"/>
    </w:rPr>
  </w:style>
  <w:style w:type="paragraph" w:styleId="Heading2">
    <w:name w:val="heading 2"/>
    <w:basedOn w:val="Normal"/>
    <w:next w:val="Normal"/>
    <w:link w:val="Heading2Char"/>
    <w:uiPriority w:val="9"/>
    <w:unhideWhenUsed/>
    <w:qFormat/>
    <w:rsid w:val="008E5210"/>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002A"/>
    <w:rPr>
      <w:rFonts w:ascii="Times New Roman" w:eastAsia="Times New Roman" w:hAnsi="Times New Roman" w:cs="Times New Roman"/>
      <w:b/>
      <w:bCs/>
      <w:sz w:val="32"/>
      <w:szCs w:val="32"/>
    </w:rPr>
  </w:style>
  <w:style w:type="paragraph" w:customStyle="1" w:styleId="Default">
    <w:name w:val="Default"/>
    <w:rsid w:val="00E0002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E0002A"/>
    <w:pPr>
      <w:tabs>
        <w:tab w:val="center" w:pos="4320"/>
        <w:tab w:val="right" w:pos="8640"/>
      </w:tabs>
    </w:pPr>
  </w:style>
  <w:style w:type="character" w:customStyle="1" w:styleId="HeaderChar">
    <w:name w:val="Header Char"/>
    <w:basedOn w:val="DefaultParagraphFont"/>
    <w:link w:val="Header"/>
    <w:uiPriority w:val="99"/>
    <w:rsid w:val="00E0002A"/>
    <w:rPr>
      <w:rFonts w:ascii="Times New Roman" w:eastAsia="Times New Roman" w:hAnsi="Times New Roman" w:cs="Times New Roman"/>
      <w:sz w:val="24"/>
      <w:szCs w:val="24"/>
    </w:rPr>
  </w:style>
  <w:style w:type="paragraph" w:styleId="Footer">
    <w:name w:val="footer"/>
    <w:basedOn w:val="Normal"/>
    <w:link w:val="FooterChar"/>
    <w:uiPriority w:val="99"/>
    <w:rsid w:val="00E0002A"/>
    <w:pPr>
      <w:tabs>
        <w:tab w:val="center" w:pos="4320"/>
        <w:tab w:val="right" w:pos="8640"/>
      </w:tabs>
    </w:pPr>
  </w:style>
  <w:style w:type="character" w:customStyle="1" w:styleId="FooterChar">
    <w:name w:val="Footer Char"/>
    <w:basedOn w:val="DefaultParagraphFont"/>
    <w:link w:val="Footer"/>
    <w:uiPriority w:val="99"/>
    <w:rsid w:val="00E0002A"/>
    <w:rPr>
      <w:rFonts w:ascii="Times New Roman" w:eastAsia="Times New Roman" w:hAnsi="Times New Roman" w:cs="Times New Roman"/>
      <w:sz w:val="24"/>
      <w:szCs w:val="24"/>
    </w:rPr>
  </w:style>
  <w:style w:type="character" w:styleId="PageNumber">
    <w:name w:val="page number"/>
    <w:basedOn w:val="DefaultParagraphFont"/>
    <w:uiPriority w:val="99"/>
    <w:rsid w:val="00E0002A"/>
  </w:style>
  <w:style w:type="character" w:styleId="PlaceholderText">
    <w:name w:val="Placeholder Text"/>
    <w:uiPriority w:val="99"/>
    <w:semiHidden/>
    <w:rsid w:val="00E0002A"/>
    <w:rPr>
      <w:color w:val="808080"/>
    </w:rPr>
  </w:style>
  <w:style w:type="paragraph" w:styleId="TOC1">
    <w:name w:val="toc 1"/>
    <w:basedOn w:val="Normal"/>
    <w:next w:val="Normal"/>
    <w:autoRedefine/>
    <w:uiPriority w:val="39"/>
    <w:unhideWhenUsed/>
    <w:rsid w:val="00E0002A"/>
    <w:pPr>
      <w:tabs>
        <w:tab w:val="right" w:leader="dot" w:pos="9180"/>
      </w:tabs>
      <w:ind w:right="180"/>
    </w:pPr>
  </w:style>
  <w:style w:type="character" w:styleId="Hyperlink">
    <w:name w:val="Hyperlink"/>
    <w:uiPriority w:val="99"/>
    <w:unhideWhenUsed/>
    <w:rsid w:val="00E0002A"/>
    <w:rPr>
      <w:color w:val="0000FF"/>
      <w:u w:val="single"/>
    </w:rPr>
  </w:style>
  <w:style w:type="paragraph" w:styleId="BalloonText">
    <w:name w:val="Balloon Text"/>
    <w:basedOn w:val="Normal"/>
    <w:link w:val="BalloonTextChar"/>
    <w:uiPriority w:val="99"/>
    <w:semiHidden/>
    <w:unhideWhenUsed/>
    <w:rsid w:val="00C8028F"/>
    <w:rPr>
      <w:rFonts w:ascii="Tahoma" w:hAnsi="Tahoma" w:cs="Tahoma"/>
      <w:sz w:val="16"/>
      <w:szCs w:val="16"/>
    </w:rPr>
  </w:style>
  <w:style w:type="character" w:customStyle="1" w:styleId="BalloonTextChar">
    <w:name w:val="Balloon Text Char"/>
    <w:basedOn w:val="DefaultParagraphFont"/>
    <w:link w:val="BalloonText"/>
    <w:uiPriority w:val="99"/>
    <w:semiHidden/>
    <w:rsid w:val="00C8028F"/>
    <w:rPr>
      <w:rFonts w:ascii="Tahoma" w:eastAsia="Times New Roman" w:hAnsi="Tahoma" w:cs="Tahoma"/>
      <w:sz w:val="16"/>
      <w:szCs w:val="16"/>
    </w:rPr>
  </w:style>
  <w:style w:type="paragraph" w:styleId="NoSpacing">
    <w:name w:val="No Spacing"/>
    <w:uiPriority w:val="1"/>
    <w:qFormat/>
    <w:rsid w:val="00BB7527"/>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527"/>
    <w:rPr>
      <w:b/>
      <w:bCs/>
    </w:rPr>
  </w:style>
  <w:style w:type="character" w:styleId="IntenseEmphasis">
    <w:name w:val="Intense Emphasis"/>
    <w:basedOn w:val="DefaultParagraphFont"/>
    <w:uiPriority w:val="21"/>
    <w:qFormat/>
    <w:rsid w:val="00BB7527"/>
    <w:rPr>
      <w:b/>
      <w:bCs/>
      <w:i/>
      <w:iCs/>
      <w:color w:val="5B9BD5" w:themeColor="accent1"/>
    </w:rPr>
  </w:style>
  <w:style w:type="paragraph" w:styleId="ListParagraph">
    <w:name w:val="List Paragraph"/>
    <w:basedOn w:val="Normal"/>
    <w:uiPriority w:val="34"/>
    <w:qFormat/>
    <w:rsid w:val="00BB7527"/>
    <w:pPr>
      <w:ind w:left="720"/>
      <w:contextualSpacing/>
    </w:pPr>
  </w:style>
  <w:style w:type="character" w:styleId="CommentReference">
    <w:name w:val="annotation reference"/>
    <w:basedOn w:val="DefaultParagraphFont"/>
    <w:uiPriority w:val="99"/>
    <w:semiHidden/>
    <w:unhideWhenUsed/>
    <w:rsid w:val="00F522DA"/>
    <w:rPr>
      <w:sz w:val="16"/>
      <w:szCs w:val="16"/>
    </w:rPr>
  </w:style>
  <w:style w:type="paragraph" w:styleId="CommentText">
    <w:name w:val="annotation text"/>
    <w:basedOn w:val="Normal"/>
    <w:link w:val="CommentTextChar"/>
    <w:uiPriority w:val="99"/>
    <w:semiHidden/>
    <w:unhideWhenUsed/>
    <w:rsid w:val="00F522DA"/>
    <w:rPr>
      <w:sz w:val="20"/>
      <w:szCs w:val="20"/>
    </w:rPr>
  </w:style>
  <w:style w:type="character" w:customStyle="1" w:styleId="CommentTextChar">
    <w:name w:val="Comment Text Char"/>
    <w:basedOn w:val="DefaultParagraphFont"/>
    <w:link w:val="CommentText"/>
    <w:uiPriority w:val="99"/>
    <w:semiHidden/>
    <w:rsid w:val="00F522DA"/>
    <w:rPr>
      <w:rFonts w:ascii="Times New Roman" w:eastAsia="Times New Roman" w:hAnsi="Times New Roman" w:cs="Times New Roman"/>
      <w:sz w:val="20"/>
      <w:szCs w:val="20"/>
    </w:rPr>
  </w:style>
  <w:style w:type="character" w:customStyle="1" w:styleId="apple-converted-space">
    <w:name w:val="apple-converted-space"/>
    <w:basedOn w:val="DefaultParagraphFont"/>
    <w:rsid w:val="00F522DA"/>
  </w:style>
  <w:style w:type="paragraph" w:styleId="NormalWeb">
    <w:name w:val="Normal (Web)"/>
    <w:basedOn w:val="Normal"/>
    <w:uiPriority w:val="99"/>
    <w:unhideWhenUsed/>
    <w:rsid w:val="00F522DA"/>
    <w:pPr>
      <w:spacing w:before="100" w:beforeAutospacing="1" w:after="100" w:afterAutospacing="1"/>
    </w:pPr>
  </w:style>
  <w:style w:type="character" w:styleId="Emphasis">
    <w:name w:val="Emphasis"/>
    <w:basedOn w:val="DefaultParagraphFont"/>
    <w:uiPriority w:val="20"/>
    <w:qFormat/>
    <w:rsid w:val="00F522DA"/>
    <w:rPr>
      <w:i/>
      <w:iCs/>
    </w:rPr>
  </w:style>
  <w:style w:type="character" w:customStyle="1" w:styleId="Heading2Char">
    <w:name w:val="Heading 2 Char"/>
    <w:basedOn w:val="DefaultParagraphFont"/>
    <w:link w:val="Heading2"/>
    <w:uiPriority w:val="9"/>
    <w:rsid w:val="008E5210"/>
    <w:rPr>
      <w:rFonts w:ascii="Times New Roman" w:eastAsiaTheme="majorEastAsia" w:hAnsi="Times New Roman" w:cstheme="majorBidi"/>
      <w:b/>
      <w:sz w:val="28"/>
      <w:szCs w:val="26"/>
    </w:rPr>
  </w:style>
  <w:style w:type="paragraph" w:styleId="FootnoteText">
    <w:name w:val="footnote text"/>
    <w:basedOn w:val="Normal"/>
    <w:link w:val="FootnoteTextChar"/>
    <w:uiPriority w:val="99"/>
    <w:semiHidden/>
    <w:unhideWhenUsed/>
    <w:rsid w:val="000D26BA"/>
    <w:rPr>
      <w:rFonts w:ascii="Courier" w:hAnsi="Courier"/>
      <w:spacing w:val="-2"/>
      <w:sz w:val="20"/>
      <w:szCs w:val="20"/>
    </w:rPr>
  </w:style>
  <w:style w:type="character" w:customStyle="1" w:styleId="FootnoteTextChar">
    <w:name w:val="Footnote Text Char"/>
    <w:basedOn w:val="DefaultParagraphFont"/>
    <w:link w:val="FootnoteText"/>
    <w:uiPriority w:val="99"/>
    <w:semiHidden/>
    <w:rsid w:val="000D26BA"/>
    <w:rPr>
      <w:rFonts w:ascii="Courier" w:eastAsia="Times New Roman" w:hAnsi="Courier" w:cs="Times New Roman"/>
      <w:spacing w:val="-2"/>
      <w:sz w:val="20"/>
      <w:szCs w:val="20"/>
    </w:rPr>
  </w:style>
  <w:style w:type="character" w:styleId="FootnoteReference">
    <w:name w:val="footnote reference"/>
    <w:basedOn w:val="DefaultParagraphFont"/>
    <w:uiPriority w:val="99"/>
    <w:semiHidden/>
    <w:unhideWhenUsed/>
    <w:rsid w:val="000D26BA"/>
    <w:rPr>
      <w:vertAlign w:val="superscript"/>
    </w:rPr>
  </w:style>
  <w:style w:type="paragraph" w:styleId="CommentSubject">
    <w:name w:val="annotation subject"/>
    <w:basedOn w:val="CommentText"/>
    <w:next w:val="CommentText"/>
    <w:link w:val="CommentSubjectChar"/>
    <w:uiPriority w:val="99"/>
    <w:semiHidden/>
    <w:unhideWhenUsed/>
    <w:rsid w:val="000927D5"/>
    <w:rPr>
      <w:b/>
      <w:bCs/>
    </w:rPr>
  </w:style>
  <w:style w:type="character" w:customStyle="1" w:styleId="CommentSubjectChar">
    <w:name w:val="Comment Subject Char"/>
    <w:basedOn w:val="CommentTextChar"/>
    <w:link w:val="CommentSubject"/>
    <w:uiPriority w:val="99"/>
    <w:semiHidden/>
    <w:rsid w:val="000927D5"/>
    <w:rPr>
      <w:rFonts w:ascii="Times New Roman" w:eastAsia="Times New Roman" w:hAnsi="Times New Roman" w:cs="Times New Roman"/>
      <w:b/>
      <w:bCs/>
      <w:sz w:val="20"/>
      <w:szCs w:val="20"/>
    </w:rPr>
  </w:style>
  <w:style w:type="paragraph" w:styleId="Revision">
    <w:name w:val="Revision"/>
    <w:hidden/>
    <w:uiPriority w:val="99"/>
    <w:semiHidden/>
    <w:rsid w:val="00176F41"/>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51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8861">
      <w:bodyDiv w:val="1"/>
      <w:marLeft w:val="0"/>
      <w:marRight w:val="0"/>
      <w:marTop w:val="0"/>
      <w:marBottom w:val="0"/>
      <w:divBdr>
        <w:top w:val="none" w:sz="0" w:space="0" w:color="auto"/>
        <w:left w:val="none" w:sz="0" w:space="0" w:color="auto"/>
        <w:bottom w:val="none" w:sz="0" w:space="0" w:color="auto"/>
        <w:right w:val="none" w:sz="0" w:space="0" w:color="auto"/>
      </w:divBdr>
    </w:div>
    <w:div w:id="82646327">
      <w:bodyDiv w:val="1"/>
      <w:marLeft w:val="0"/>
      <w:marRight w:val="0"/>
      <w:marTop w:val="0"/>
      <w:marBottom w:val="0"/>
      <w:divBdr>
        <w:top w:val="none" w:sz="0" w:space="0" w:color="auto"/>
        <w:left w:val="none" w:sz="0" w:space="0" w:color="auto"/>
        <w:bottom w:val="none" w:sz="0" w:space="0" w:color="auto"/>
        <w:right w:val="none" w:sz="0" w:space="0" w:color="auto"/>
      </w:divBdr>
    </w:div>
    <w:div w:id="131797163">
      <w:bodyDiv w:val="1"/>
      <w:marLeft w:val="0"/>
      <w:marRight w:val="0"/>
      <w:marTop w:val="0"/>
      <w:marBottom w:val="0"/>
      <w:divBdr>
        <w:top w:val="none" w:sz="0" w:space="0" w:color="auto"/>
        <w:left w:val="none" w:sz="0" w:space="0" w:color="auto"/>
        <w:bottom w:val="none" w:sz="0" w:space="0" w:color="auto"/>
        <w:right w:val="none" w:sz="0" w:space="0" w:color="auto"/>
      </w:divBdr>
    </w:div>
    <w:div w:id="145559705">
      <w:bodyDiv w:val="1"/>
      <w:marLeft w:val="0"/>
      <w:marRight w:val="0"/>
      <w:marTop w:val="0"/>
      <w:marBottom w:val="0"/>
      <w:divBdr>
        <w:top w:val="none" w:sz="0" w:space="0" w:color="auto"/>
        <w:left w:val="none" w:sz="0" w:space="0" w:color="auto"/>
        <w:bottom w:val="none" w:sz="0" w:space="0" w:color="auto"/>
        <w:right w:val="none" w:sz="0" w:space="0" w:color="auto"/>
      </w:divBdr>
      <w:divsChild>
        <w:div w:id="451556035">
          <w:marLeft w:val="1080"/>
          <w:marRight w:val="0"/>
          <w:marTop w:val="100"/>
          <w:marBottom w:val="0"/>
          <w:divBdr>
            <w:top w:val="none" w:sz="0" w:space="0" w:color="auto"/>
            <w:left w:val="none" w:sz="0" w:space="0" w:color="auto"/>
            <w:bottom w:val="none" w:sz="0" w:space="0" w:color="auto"/>
            <w:right w:val="none" w:sz="0" w:space="0" w:color="auto"/>
          </w:divBdr>
        </w:div>
      </w:divsChild>
    </w:div>
    <w:div w:id="489253313">
      <w:bodyDiv w:val="1"/>
      <w:marLeft w:val="0"/>
      <w:marRight w:val="0"/>
      <w:marTop w:val="0"/>
      <w:marBottom w:val="0"/>
      <w:divBdr>
        <w:top w:val="none" w:sz="0" w:space="0" w:color="auto"/>
        <w:left w:val="none" w:sz="0" w:space="0" w:color="auto"/>
        <w:bottom w:val="none" w:sz="0" w:space="0" w:color="auto"/>
        <w:right w:val="none" w:sz="0" w:space="0" w:color="auto"/>
      </w:divBdr>
    </w:div>
    <w:div w:id="522401670">
      <w:bodyDiv w:val="1"/>
      <w:marLeft w:val="0"/>
      <w:marRight w:val="0"/>
      <w:marTop w:val="0"/>
      <w:marBottom w:val="0"/>
      <w:divBdr>
        <w:top w:val="none" w:sz="0" w:space="0" w:color="auto"/>
        <w:left w:val="none" w:sz="0" w:space="0" w:color="auto"/>
        <w:bottom w:val="none" w:sz="0" w:space="0" w:color="auto"/>
        <w:right w:val="none" w:sz="0" w:space="0" w:color="auto"/>
      </w:divBdr>
    </w:div>
    <w:div w:id="646714189">
      <w:bodyDiv w:val="1"/>
      <w:marLeft w:val="0"/>
      <w:marRight w:val="0"/>
      <w:marTop w:val="0"/>
      <w:marBottom w:val="0"/>
      <w:divBdr>
        <w:top w:val="none" w:sz="0" w:space="0" w:color="auto"/>
        <w:left w:val="none" w:sz="0" w:space="0" w:color="auto"/>
        <w:bottom w:val="none" w:sz="0" w:space="0" w:color="auto"/>
        <w:right w:val="none" w:sz="0" w:space="0" w:color="auto"/>
      </w:divBdr>
    </w:div>
    <w:div w:id="1278753413">
      <w:bodyDiv w:val="1"/>
      <w:marLeft w:val="0"/>
      <w:marRight w:val="0"/>
      <w:marTop w:val="0"/>
      <w:marBottom w:val="0"/>
      <w:divBdr>
        <w:top w:val="none" w:sz="0" w:space="0" w:color="auto"/>
        <w:left w:val="none" w:sz="0" w:space="0" w:color="auto"/>
        <w:bottom w:val="none" w:sz="0" w:space="0" w:color="auto"/>
        <w:right w:val="none" w:sz="0" w:space="0" w:color="auto"/>
      </w:divBdr>
    </w:div>
    <w:div w:id="1286740234">
      <w:bodyDiv w:val="1"/>
      <w:marLeft w:val="0"/>
      <w:marRight w:val="0"/>
      <w:marTop w:val="0"/>
      <w:marBottom w:val="0"/>
      <w:divBdr>
        <w:top w:val="none" w:sz="0" w:space="0" w:color="auto"/>
        <w:left w:val="none" w:sz="0" w:space="0" w:color="auto"/>
        <w:bottom w:val="none" w:sz="0" w:space="0" w:color="auto"/>
        <w:right w:val="none" w:sz="0" w:space="0" w:color="auto"/>
      </w:divBdr>
    </w:div>
    <w:div w:id="1627080439">
      <w:bodyDiv w:val="1"/>
      <w:marLeft w:val="0"/>
      <w:marRight w:val="0"/>
      <w:marTop w:val="0"/>
      <w:marBottom w:val="0"/>
      <w:divBdr>
        <w:top w:val="none" w:sz="0" w:space="0" w:color="auto"/>
        <w:left w:val="none" w:sz="0" w:space="0" w:color="auto"/>
        <w:bottom w:val="none" w:sz="0" w:space="0" w:color="auto"/>
        <w:right w:val="none" w:sz="0" w:space="0" w:color="auto"/>
      </w:divBdr>
    </w:div>
    <w:div w:id="1917396178">
      <w:bodyDiv w:val="1"/>
      <w:marLeft w:val="0"/>
      <w:marRight w:val="0"/>
      <w:marTop w:val="0"/>
      <w:marBottom w:val="0"/>
      <w:divBdr>
        <w:top w:val="none" w:sz="0" w:space="0" w:color="auto"/>
        <w:left w:val="none" w:sz="0" w:space="0" w:color="auto"/>
        <w:bottom w:val="none" w:sz="0" w:space="0" w:color="auto"/>
        <w:right w:val="none" w:sz="0" w:space="0" w:color="auto"/>
      </w:divBdr>
    </w:div>
    <w:div w:id="19959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saccessibility.syr.edu/" TargetMode="External"/><Relationship Id="rId18" Type="http://schemas.openxmlformats.org/officeDocument/2006/relationships/hyperlink" Target="http://www.ada.gov/2010_regs.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hr.ny.gov/law" TargetMode="External"/><Relationship Id="rId7" Type="http://schemas.openxmlformats.org/officeDocument/2006/relationships/endnotes" Target="endnotes.xml"/><Relationship Id="rId12" Type="http://schemas.openxmlformats.org/officeDocument/2006/relationships/hyperlink" Target="mailto:accessibleIT@syr.edu" TargetMode="External"/><Relationship Id="rId17" Type="http://schemas.openxmlformats.org/officeDocument/2006/relationships/hyperlink" Target="https://answers.syr.edu/x/AAowAg" TargetMode="External"/><Relationship Id="rId25" Type="http://schemas.openxmlformats.org/officeDocument/2006/relationships/hyperlink" Target="http://net.educause.edu/ir/library/pdf/accessrisk15.pdf" TargetMode="External"/><Relationship Id="rId2" Type="http://schemas.openxmlformats.org/officeDocument/2006/relationships/numbering" Target="numbering.xml"/><Relationship Id="rId16" Type="http://schemas.openxmlformats.org/officeDocument/2006/relationships/hyperlink" Target="mailto:ada@syr.edu" TargetMode="External"/><Relationship Id="rId20" Type="http://schemas.openxmlformats.org/officeDocument/2006/relationships/hyperlink" Target="https://www.access-board.gov/the-board/laws/rehabilitation-act-of-19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wers.syr.edu/x/Dym8Ag" TargetMode="External"/><Relationship Id="rId24" Type="http://schemas.openxmlformats.org/officeDocument/2006/relationships/hyperlink" Target="http://counsel.cua.edu/res/docs/accessibledigitalworld.pdf" TargetMode="External"/><Relationship Id="rId5" Type="http://schemas.openxmlformats.org/officeDocument/2006/relationships/webSettings" Target="webSettings.xml"/><Relationship Id="rId15" Type="http://schemas.openxmlformats.org/officeDocument/2006/relationships/hyperlink" Target="http://www.syr.edu/hcd/equal-opportunity.html" TargetMode="External"/><Relationship Id="rId23" Type="http://schemas.openxmlformats.org/officeDocument/2006/relationships/hyperlink" Target="http://supolicies.syr.edu/ethics/nonD_equal_policy.htm" TargetMode="External"/><Relationship Id="rId28" Type="http://schemas.openxmlformats.org/officeDocument/2006/relationships/theme" Target="theme/theme1.xml"/><Relationship Id="rId10" Type="http://schemas.openxmlformats.org/officeDocument/2006/relationships/hyperlink" Target="https://answers.syr.edu/x/AAowAg" TargetMode="External"/><Relationship Id="rId19" Type="http://schemas.openxmlformats.org/officeDocument/2006/relationships/hyperlink" Target="https://www2.ed.gov/about/offices/list/ocr/docs/edlite-FAPE504.html" TargetMode="External"/><Relationship Id="rId4" Type="http://schemas.openxmlformats.org/officeDocument/2006/relationships/settings" Target="settings.xml"/><Relationship Id="rId9" Type="http://schemas.openxmlformats.org/officeDocument/2006/relationships/hyperlink" Target="mailto:jsgluck@syr.edu" TargetMode="External"/><Relationship Id="rId14" Type="http://schemas.openxmlformats.org/officeDocument/2006/relationships/hyperlink" Target="mailto:help@syr.edu" TargetMode="External"/><Relationship Id="rId22" Type="http://schemas.openxmlformats.org/officeDocument/2006/relationships/hyperlink" Target="http://supolicies.syr.edu/ethics/nonD_disability_policy.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075C-357F-4960-A038-4E66BE06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2757</Words>
  <Characters>15715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Jones-Kolod</dc:creator>
  <cp:keywords/>
  <dc:description/>
  <cp:lastModifiedBy>Sharon M Trerise</cp:lastModifiedBy>
  <cp:revision>2</cp:revision>
  <cp:lastPrinted>2017-08-15T17:49:00Z</cp:lastPrinted>
  <dcterms:created xsi:type="dcterms:W3CDTF">2017-09-29T14:23:00Z</dcterms:created>
  <dcterms:modified xsi:type="dcterms:W3CDTF">2017-09-29T14:23:00Z</dcterms:modified>
</cp:coreProperties>
</file>